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BD418A" w:rsidTr="00BD418A">
        <w:tc>
          <w:tcPr>
            <w:tcW w:w="9062" w:type="dxa"/>
          </w:tcPr>
          <w:p w:rsidR="00BD418A" w:rsidRPr="00C16B38" w:rsidRDefault="00C16B38" w:rsidP="003A3F49">
            <w:pPr>
              <w:tabs>
                <w:tab w:val="left" w:pos="2467"/>
              </w:tabs>
              <w:jc w:val="center"/>
              <w:rPr>
                <w:b/>
                <w:sz w:val="32"/>
                <w:szCs w:val="32"/>
              </w:rPr>
            </w:pPr>
            <w:r w:rsidRPr="00C16B38">
              <w:rPr>
                <w:b/>
                <w:smallCaps/>
                <w:sz w:val="24"/>
              </w:rPr>
              <w:t xml:space="preserve">Questions/Réponses relatives </w:t>
            </w:r>
            <w:r w:rsidR="003A3F49">
              <w:rPr>
                <w:b/>
                <w:smallCaps/>
                <w:sz w:val="24"/>
              </w:rPr>
              <w:t>au projet de</w:t>
            </w:r>
            <w:r w:rsidRPr="00C16B38">
              <w:rPr>
                <w:b/>
                <w:smallCaps/>
                <w:sz w:val="24"/>
              </w:rPr>
              <w:t xml:space="preserve"> charte du Réseau Tortues </w:t>
            </w:r>
            <w:r>
              <w:rPr>
                <w:b/>
                <w:smallCaps/>
                <w:sz w:val="24"/>
              </w:rPr>
              <w:t>Ma</w:t>
            </w:r>
            <w:r w:rsidRPr="00C16B38">
              <w:rPr>
                <w:b/>
                <w:smallCaps/>
                <w:sz w:val="24"/>
              </w:rPr>
              <w:t>rines</w:t>
            </w:r>
          </w:p>
        </w:tc>
      </w:tr>
    </w:tbl>
    <w:p w:rsidR="00CF262C" w:rsidRDefault="00CF262C" w:rsidP="001F6F96">
      <w:pPr>
        <w:tabs>
          <w:tab w:val="left" w:pos="2467"/>
        </w:tabs>
      </w:pPr>
    </w:p>
    <w:sdt>
      <w:sdtPr>
        <w:rPr>
          <w:rFonts w:asciiTheme="minorHAnsi" w:eastAsiaTheme="minorHAnsi" w:hAnsiTheme="minorHAnsi" w:cstheme="minorBidi"/>
          <w:color w:val="auto"/>
          <w:sz w:val="22"/>
          <w:szCs w:val="22"/>
          <w:lang w:eastAsia="en-US"/>
        </w:rPr>
        <w:id w:val="1981811175"/>
        <w:docPartObj>
          <w:docPartGallery w:val="Table of Contents"/>
          <w:docPartUnique/>
        </w:docPartObj>
      </w:sdtPr>
      <w:sdtEndPr>
        <w:rPr>
          <w:b/>
          <w:bCs/>
        </w:rPr>
      </w:sdtEndPr>
      <w:sdtContent>
        <w:p w:rsidR="00CF262C" w:rsidRDefault="00CF262C">
          <w:pPr>
            <w:pStyle w:val="En-ttedetabledesmatires"/>
          </w:pPr>
          <w:r>
            <w:t>Liste des questions</w:t>
          </w:r>
        </w:p>
        <w:p w:rsidR="003423DC" w:rsidRDefault="00CF262C">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90455994" w:history="1">
            <w:r w:rsidR="003423DC" w:rsidRPr="009A34A2">
              <w:rPr>
                <w:rStyle w:val="Lienhypertexte"/>
                <w:noProof/>
              </w:rPr>
              <w:t>Q1 – Comment sont définis les acteurs du réseau ?</w:t>
            </w:r>
            <w:r w:rsidR="003423DC">
              <w:rPr>
                <w:noProof/>
                <w:webHidden/>
              </w:rPr>
              <w:tab/>
            </w:r>
            <w:r w:rsidR="003423DC">
              <w:rPr>
                <w:noProof/>
                <w:webHidden/>
              </w:rPr>
              <w:fldChar w:fldCharType="begin"/>
            </w:r>
            <w:r w:rsidR="003423DC">
              <w:rPr>
                <w:noProof/>
                <w:webHidden/>
              </w:rPr>
              <w:instrText xml:space="preserve"> PAGEREF _Toc90455994 \h </w:instrText>
            </w:r>
            <w:r w:rsidR="003423DC">
              <w:rPr>
                <w:noProof/>
                <w:webHidden/>
              </w:rPr>
            </w:r>
            <w:r w:rsidR="003423DC">
              <w:rPr>
                <w:noProof/>
                <w:webHidden/>
              </w:rPr>
              <w:fldChar w:fldCharType="separate"/>
            </w:r>
            <w:r w:rsidR="003423DC">
              <w:rPr>
                <w:noProof/>
                <w:webHidden/>
              </w:rPr>
              <w:t>2</w:t>
            </w:r>
            <w:r w:rsidR="003423DC">
              <w:rPr>
                <w:noProof/>
                <w:webHidden/>
              </w:rPr>
              <w:fldChar w:fldCharType="end"/>
            </w:r>
          </w:hyperlink>
        </w:p>
        <w:p w:rsidR="003423DC" w:rsidRDefault="006B4C9A">
          <w:pPr>
            <w:pStyle w:val="TM1"/>
            <w:tabs>
              <w:tab w:val="right" w:leader="dot" w:pos="9062"/>
            </w:tabs>
            <w:rPr>
              <w:rFonts w:eastAsiaTheme="minorEastAsia"/>
              <w:noProof/>
              <w:lang w:eastAsia="fr-FR"/>
            </w:rPr>
          </w:pPr>
          <w:hyperlink w:anchor="_Toc90455995" w:history="1">
            <w:r w:rsidR="003423DC" w:rsidRPr="009A34A2">
              <w:rPr>
                <w:rStyle w:val="Lienhypertexte"/>
                <w:noProof/>
              </w:rPr>
              <w:t>Q2 – À quelles conditions des acteurs socio-professionnels peuvent-ils adhérer à la charte ?</w:t>
            </w:r>
            <w:r w:rsidR="003423DC">
              <w:rPr>
                <w:noProof/>
                <w:webHidden/>
              </w:rPr>
              <w:tab/>
            </w:r>
            <w:r w:rsidR="003423DC">
              <w:rPr>
                <w:noProof/>
                <w:webHidden/>
              </w:rPr>
              <w:fldChar w:fldCharType="begin"/>
            </w:r>
            <w:r w:rsidR="003423DC">
              <w:rPr>
                <w:noProof/>
                <w:webHidden/>
              </w:rPr>
              <w:instrText xml:space="preserve"> PAGEREF _Toc90455995 \h </w:instrText>
            </w:r>
            <w:r w:rsidR="003423DC">
              <w:rPr>
                <w:noProof/>
                <w:webHidden/>
              </w:rPr>
            </w:r>
            <w:r w:rsidR="003423DC">
              <w:rPr>
                <w:noProof/>
                <w:webHidden/>
              </w:rPr>
              <w:fldChar w:fldCharType="separate"/>
            </w:r>
            <w:r w:rsidR="003423DC">
              <w:rPr>
                <w:noProof/>
                <w:webHidden/>
              </w:rPr>
              <w:t>2</w:t>
            </w:r>
            <w:r w:rsidR="003423DC">
              <w:rPr>
                <w:noProof/>
                <w:webHidden/>
              </w:rPr>
              <w:fldChar w:fldCharType="end"/>
            </w:r>
          </w:hyperlink>
        </w:p>
        <w:p w:rsidR="003423DC" w:rsidRDefault="006B4C9A">
          <w:pPr>
            <w:pStyle w:val="TM1"/>
            <w:tabs>
              <w:tab w:val="right" w:leader="dot" w:pos="9062"/>
            </w:tabs>
            <w:rPr>
              <w:rFonts w:eastAsiaTheme="minorEastAsia"/>
              <w:noProof/>
              <w:lang w:eastAsia="fr-FR"/>
            </w:rPr>
          </w:pPr>
          <w:hyperlink w:anchor="_Toc90455996" w:history="1">
            <w:r w:rsidR="003423DC" w:rsidRPr="009A34A2">
              <w:rPr>
                <w:rStyle w:val="Lienhypertexte"/>
                <w:noProof/>
              </w:rPr>
              <w:t>Q3 – Qui seront les membres signataires de la charte dans un premier temps ?</w:t>
            </w:r>
            <w:r w:rsidR="003423DC">
              <w:rPr>
                <w:noProof/>
                <w:webHidden/>
              </w:rPr>
              <w:tab/>
            </w:r>
            <w:r w:rsidR="003423DC">
              <w:rPr>
                <w:noProof/>
                <w:webHidden/>
              </w:rPr>
              <w:fldChar w:fldCharType="begin"/>
            </w:r>
            <w:r w:rsidR="003423DC">
              <w:rPr>
                <w:noProof/>
                <w:webHidden/>
              </w:rPr>
              <w:instrText xml:space="preserve"> PAGEREF _Toc90455996 \h </w:instrText>
            </w:r>
            <w:r w:rsidR="003423DC">
              <w:rPr>
                <w:noProof/>
                <w:webHidden/>
              </w:rPr>
            </w:r>
            <w:r w:rsidR="003423DC">
              <w:rPr>
                <w:noProof/>
                <w:webHidden/>
              </w:rPr>
              <w:fldChar w:fldCharType="separate"/>
            </w:r>
            <w:r w:rsidR="003423DC">
              <w:rPr>
                <w:noProof/>
                <w:webHidden/>
              </w:rPr>
              <w:t>2</w:t>
            </w:r>
            <w:r w:rsidR="003423DC">
              <w:rPr>
                <w:noProof/>
                <w:webHidden/>
              </w:rPr>
              <w:fldChar w:fldCharType="end"/>
            </w:r>
          </w:hyperlink>
        </w:p>
        <w:p w:rsidR="003423DC" w:rsidRDefault="006B4C9A">
          <w:pPr>
            <w:pStyle w:val="TM1"/>
            <w:tabs>
              <w:tab w:val="right" w:leader="dot" w:pos="9062"/>
            </w:tabs>
            <w:rPr>
              <w:rFonts w:eastAsiaTheme="minorEastAsia"/>
              <w:noProof/>
              <w:lang w:eastAsia="fr-FR"/>
            </w:rPr>
          </w:pPr>
          <w:hyperlink w:anchor="_Toc90455997" w:history="1">
            <w:r w:rsidR="003423DC" w:rsidRPr="009A34A2">
              <w:rPr>
                <w:rStyle w:val="Lienhypertexte"/>
                <w:noProof/>
              </w:rPr>
              <w:t>Q4 – Quelle est la valeur juridique de la charte ?</w:t>
            </w:r>
            <w:r w:rsidR="003423DC">
              <w:rPr>
                <w:noProof/>
                <w:webHidden/>
              </w:rPr>
              <w:tab/>
            </w:r>
            <w:r w:rsidR="003423DC">
              <w:rPr>
                <w:noProof/>
                <w:webHidden/>
              </w:rPr>
              <w:fldChar w:fldCharType="begin"/>
            </w:r>
            <w:r w:rsidR="003423DC">
              <w:rPr>
                <w:noProof/>
                <w:webHidden/>
              </w:rPr>
              <w:instrText xml:space="preserve"> PAGEREF _Toc90455997 \h </w:instrText>
            </w:r>
            <w:r w:rsidR="003423DC">
              <w:rPr>
                <w:noProof/>
                <w:webHidden/>
              </w:rPr>
            </w:r>
            <w:r w:rsidR="003423DC">
              <w:rPr>
                <w:noProof/>
                <w:webHidden/>
              </w:rPr>
              <w:fldChar w:fldCharType="separate"/>
            </w:r>
            <w:r w:rsidR="003423DC">
              <w:rPr>
                <w:noProof/>
                <w:webHidden/>
              </w:rPr>
              <w:t>4</w:t>
            </w:r>
            <w:r w:rsidR="003423DC">
              <w:rPr>
                <w:noProof/>
                <w:webHidden/>
              </w:rPr>
              <w:fldChar w:fldCharType="end"/>
            </w:r>
          </w:hyperlink>
        </w:p>
        <w:p w:rsidR="003423DC" w:rsidRDefault="006B4C9A">
          <w:pPr>
            <w:pStyle w:val="TM1"/>
            <w:tabs>
              <w:tab w:val="right" w:leader="dot" w:pos="9062"/>
            </w:tabs>
            <w:rPr>
              <w:rFonts w:eastAsiaTheme="minorEastAsia"/>
              <w:noProof/>
              <w:lang w:eastAsia="fr-FR"/>
            </w:rPr>
          </w:pPr>
          <w:hyperlink w:anchor="_Toc90455998" w:history="1">
            <w:r w:rsidR="003423DC" w:rsidRPr="009A34A2">
              <w:rPr>
                <w:rStyle w:val="Lienhypertexte"/>
                <w:noProof/>
              </w:rPr>
              <w:t>Q5 – Est-ce que la charte encadre l’utilisation des données issues des actions mises en œuvre ?</w:t>
            </w:r>
            <w:r w:rsidR="003423DC">
              <w:rPr>
                <w:noProof/>
                <w:webHidden/>
              </w:rPr>
              <w:tab/>
            </w:r>
            <w:r w:rsidR="003423DC">
              <w:rPr>
                <w:noProof/>
                <w:webHidden/>
              </w:rPr>
              <w:fldChar w:fldCharType="begin"/>
            </w:r>
            <w:r w:rsidR="003423DC">
              <w:rPr>
                <w:noProof/>
                <w:webHidden/>
              </w:rPr>
              <w:instrText xml:space="preserve"> PAGEREF _Toc90455998 \h </w:instrText>
            </w:r>
            <w:r w:rsidR="003423DC">
              <w:rPr>
                <w:noProof/>
                <w:webHidden/>
              </w:rPr>
            </w:r>
            <w:r w:rsidR="003423DC">
              <w:rPr>
                <w:noProof/>
                <w:webHidden/>
              </w:rPr>
              <w:fldChar w:fldCharType="separate"/>
            </w:r>
            <w:r w:rsidR="003423DC">
              <w:rPr>
                <w:noProof/>
                <w:webHidden/>
              </w:rPr>
              <w:t>4</w:t>
            </w:r>
            <w:r w:rsidR="003423DC">
              <w:rPr>
                <w:noProof/>
                <w:webHidden/>
              </w:rPr>
              <w:fldChar w:fldCharType="end"/>
            </w:r>
          </w:hyperlink>
        </w:p>
        <w:p w:rsidR="003423DC" w:rsidRDefault="006B4C9A">
          <w:pPr>
            <w:pStyle w:val="TM1"/>
            <w:tabs>
              <w:tab w:val="right" w:leader="dot" w:pos="9062"/>
            </w:tabs>
            <w:rPr>
              <w:rFonts w:eastAsiaTheme="minorEastAsia"/>
              <w:noProof/>
              <w:lang w:eastAsia="fr-FR"/>
            </w:rPr>
          </w:pPr>
          <w:hyperlink w:anchor="_Toc90455999" w:history="1">
            <w:r w:rsidR="003423DC" w:rsidRPr="009A34A2">
              <w:rPr>
                <w:rStyle w:val="Lienhypertexte"/>
                <w:noProof/>
              </w:rPr>
              <w:t>Q6 – Comment est définie la « </w:t>
            </w:r>
            <w:r w:rsidR="003423DC" w:rsidRPr="009A34A2">
              <w:rPr>
                <w:rStyle w:val="Lienhypertexte"/>
                <w:i/>
                <w:noProof/>
              </w:rPr>
              <w:t>non-participation aux activités du RTM</w:t>
            </w:r>
            <w:r w:rsidR="003423DC" w:rsidRPr="009A34A2">
              <w:rPr>
                <w:rStyle w:val="Lienhypertexte"/>
                <w:noProof/>
              </w:rPr>
              <w:t> » ?</w:t>
            </w:r>
            <w:r w:rsidR="003423DC">
              <w:rPr>
                <w:noProof/>
                <w:webHidden/>
              </w:rPr>
              <w:tab/>
            </w:r>
            <w:r w:rsidR="003423DC">
              <w:rPr>
                <w:noProof/>
                <w:webHidden/>
              </w:rPr>
              <w:fldChar w:fldCharType="begin"/>
            </w:r>
            <w:r w:rsidR="003423DC">
              <w:rPr>
                <w:noProof/>
                <w:webHidden/>
              </w:rPr>
              <w:instrText xml:space="preserve"> PAGEREF _Toc90455999 \h </w:instrText>
            </w:r>
            <w:r w:rsidR="003423DC">
              <w:rPr>
                <w:noProof/>
                <w:webHidden/>
              </w:rPr>
            </w:r>
            <w:r w:rsidR="003423DC">
              <w:rPr>
                <w:noProof/>
                <w:webHidden/>
              </w:rPr>
              <w:fldChar w:fldCharType="separate"/>
            </w:r>
            <w:r w:rsidR="003423DC">
              <w:rPr>
                <w:noProof/>
                <w:webHidden/>
              </w:rPr>
              <w:t>4</w:t>
            </w:r>
            <w:r w:rsidR="003423DC">
              <w:rPr>
                <w:noProof/>
                <w:webHidden/>
              </w:rPr>
              <w:fldChar w:fldCharType="end"/>
            </w:r>
          </w:hyperlink>
        </w:p>
        <w:p w:rsidR="00CF262C" w:rsidRDefault="00CF262C">
          <w:r>
            <w:rPr>
              <w:b/>
              <w:bCs/>
            </w:rPr>
            <w:fldChar w:fldCharType="end"/>
          </w:r>
        </w:p>
      </w:sdtContent>
    </w:sdt>
    <w:p w:rsidR="00CF262C" w:rsidRDefault="00CF262C" w:rsidP="001F6F96">
      <w:pPr>
        <w:tabs>
          <w:tab w:val="left" w:pos="2467"/>
        </w:tabs>
        <w:sectPr w:rsidR="00CF262C">
          <w:headerReference w:type="default" r:id="rId8"/>
          <w:footerReference w:type="default" r:id="rId9"/>
          <w:pgSz w:w="11906" w:h="16838"/>
          <w:pgMar w:top="1417" w:right="1417" w:bottom="1417" w:left="1417" w:header="708" w:footer="708" w:gutter="0"/>
          <w:cols w:space="708"/>
          <w:docGrid w:linePitch="360"/>
        </w:sectPr>
      </w:pPr>
    </w:p>
    <w:p w:rsidR="00C16B38" w:rsidRDefault="00C16B38" w:rsidP="00CF262C">
      <w:pPr>
        <w:pStyle w:val="Titre1"/>
      </w:pPr>
      <w:bookmarkStart w:id="0" w:name="_Toc90455994"/>
      <w:r>
        <w:lastRenderedPageBreak/>
        <w:t xml:space="preserve">Q1 – Comment sont définis les </w:t>
      </w:r>
      <w:r w:rsidRPr="00CF262C">
        <w:t>acteurs</w:t>
      </w:r>
      <w:r>
        <w:t xml:space="preserve"> du réseau ?</w:t>
      </w:r>
      <w:bookmarkEnd w:id="0"/>
    </w:p>
    <w:p w:rsidR="00187EF8" w:rsidRPr="00187EF8" w:rsidRDefault="00187EF8" w:rsidP="00D708D9">
      <w:pPr>
        <w:tabs>
          <w:tab w:val="left" w:pos="2467"/>
        </w:tabs>
        <w:jc w:val="both"/>
        <w:rPr>
          <w:b/>
          <w:i/>
          <w:color w:val="4472C4" w:themeColor="accent5"/>
          <w:u w:val="single"/>
        </w:rPr>
      </w:pPr>
      <w:r w:rsidRPr="00187EF8">
        <w:rPr>
          <w:b/>
          <w:i/>
          <w:color w:val="4472C4" w:themeColor="accent5"/>
          <w:u w:val="single"/>
        </w:rPr>
        <w:t>Extrait de la charte</w:t>
      </w:r>
    </w:p>
    <w:p w:rsidR="00D708D9" w:rsidRPr="00D708D9" w:rsidRDefault="00D708D9" w:rsidP="00D708D9">
      <w:pPr>
        <w:tabs>
          <w:tab w:val="left" w:pos="2467"/>
        </w:tabs>
        <w:jc w:val="both"/>
        <w:rPr>
          <w:i/>
          <w:color w:val="4472C4" w:themeColor="accent5"/>
        </w:rPr>
      </w:pPr>
      <w:r>
        <w:rPr>
          <w:i/>
          <w:color w:val="4472C4" w:themeColor="accent5"/>
        </w:rPr>
        <w:t>« </w:t>
      </w:r>
      <w:r w:rsidRPr="00D708D9">
        <w:rPr>
          <w:i/>
          <w:color w:val="4472C4" w:themeColor="accent5"/>
        </w:rPr>
        <w:t>I.2) Définition du RTMG</w:t>
      </w:r>
    </w:p>
    <w:p w:rsidR="00D708D9" w:rsidRPr="00D708D9" w:rsidRDefault="00D708D9" w:rsidP="00D708D9">
      <w:pPr>
        <w:tabs>
          <w:tab w:val="left" w:pos="2467"/>
        </w:tabs>
        <w:jc w:val="both"/>
        <w:rPr>
          <w:i/>
          <w:color w:val="4472C4" w:themeColor="accent5"/>
        </w:rPr>
      </w:pPr>
      <w:r w:rsidRPr="00D708D9">
        <w:rPr>
          <w:i/>
          <w:color w:val="4472C4" w:themeColor="accent5"/>
        </w:rPr>
        <w:t xml:space="preserve">Le « Réseau Tortues Marines Guadeloupe » (RTMG) regroupe l’ensemble des </w:t>
      </w:r>
      <w:r w:rsidRPr="00D708D9">
        <w:rPr>
          <w:b/>
          <w:i/>
          <w:color w:val="4472C4" w:themeColor="accent5"/>
        </w:rPr>
        <w:t>acteurs et partenaires œuvrant pour l’étude et la conservation des tortues marines et de leurs habitats terrestres et marins en Guadeloupe et à Saint-Martin</w:t>
      </w:r>
      <w:r w:rsidRPr="00D708D9">
        <w:rPr>
          <w:i/>
          <w:color w:val="4472C4" w:themeColor="accent5"/>
        </w:rPr>
        <w:t>. Il se compose de nombreuses associations, bénévoles, scientifiques, gestionnaires d’espaces naturels, organismes publics en charge de la protection de la nature, mais également de socio-professionnels dont les activités concourent à suivre, préserver et communiquer sur les tortues marines.</w:t>
      </w:r>
      <w:r>
        <w:rPr>
          <w:i/>
          <w:color w:val="4472C4" w:themeColor="accent5"/>
        </w:rPr>
        <w:t> »</w:t>
      </w:r>
    </w:p>
    <w:p w:rsidR="00CF262C" w:rsidRDefault="00D708D9" w:rsidP="00D708D9">
      <w:pPr>
        <w:tabs>
          <w:tab w:val="left" w:pos="2467"/>
        </w:tabs>
        <w:jc w:val="both"/>
      </w:pPr>
      <w:r>
        <w:t>Une structure, quel que soit son statut (établissement public, association, structure privée</w:t>
      </w:r>
      <w:r w:rsidR="003A3F49">
        <w:t xml:space="preserve">, </w:t>
      </w:r>
      <w:r w:rsidR="00AF3380">
        <w:t xml:space="preserve">collectivité, </w:t>
      </w:r>
      <w:r w:rsidR="003A3F49">
        <w:t>etc.</w:t>
      </w:r>
      <w:r>
        <w:t xml:space="preserve">), peut devenir membre du RTM </w:t>
      </w:r>
      <w:r w:rsidR="003A3F49">
        <w:t xml:space="preserve">sous </w:t>
      </w:r>
      <w:proofErr w:type="gramStart"/>
      <w:r w:rsidR="003A3F49">
        <w:t>la conditions</w:t>
      </w:r>
      <w:proofErr w:type="gramEnd"/>
      <w:r w:rsidR="003A3F49">
        <w:t xml:space="preserve"> qu’</w:t>
      </w:r>
      <w:r>
        <w:t xml:space="preserve">elle s’implique dans la mise en œuvre d’une ou plusieurs actions </w:t>
      </w:r>
      <w:r w:rsidR="003A3F49">
        <w:t xml:space="preserve">définie(s) au Plan National d’Actions, et concourant de ce fait à </w:t>
      </w:r>
      <w:r>
        <w:t xml:space="preserve">l’étude </w:t>
      </w:r>
      <w:r w:rsidR="003A3F49">
        <w:t>et/</w:t>
      </w:r>
      <w:r>
        <w:t xml:space="preserve">ou la conservation des tortues marines et de leurs habitats. </w:t>
      </w:r>
    </w:p>
    <w:p w:rsidR="00CF262C" w:rsidRDefault="00D708D9" w:rsidP="00D708D9">
      <w:pPr>
        <w:tabs>
          <w:tab w:val="left" w:pos="2467"/>
        </w:tabs>
        <w:jc w:val="both"/>
      </w:pPr>
      <w:r>
        <w:t>Chaque structure devra remplir une fiche explicitant les actions dans lesquelles elle est impliquée</w:t>
      </w:r>
      <w:r w:rsidR="003A3F49">
        <w:t xml:space="preserve"> directement ou indirectement</w:t>
      </w:r>
      <w:r>
        <w:t>. Cette fiche sera annexée à la charte.</w:t>
      </w:r>
    </w:p>
    <w:p w:rsidR="003A3F49" w:rsidRPr="003A3F49" w:rsidRDefault="003A3F49" w:rsidP="00D708D9">
      <w:pPr>
        <w:tabs>
          <w:tab w:val="left" w:pos="2467"/>
        </w:tabs>
        <w:jc w:val="both"/>
        <w:rPr>
          <w:b/>
        </w:rPr>
      </w:pPr>
      <w:r>
        <w:rPr>
          <w:b/>
        </w:rPr>
        <w:t xml:space="preserve">Un acteur du réseau est donc une structure participant à la mise en œuvre d’une ou plusieurs actions définie(s) au PNA, quel que soit sa forme juridique ou son ancienneté. </w:t>
      </w:r>
    </w:p>
    <w:p w:rsidR="00240D7A" w:rsidRPr="00240D7A" w:rsidRDefault="00240D7A" w:rsidP="00CF262C">
      <w:pPr>
        <w:pStyle w:val="Titre1"/>
      </w:pPr>
      <w:bookmarkStart w:id="1" w:name="_Toc90455995"/>
      <w:r w:rsidRPr="00240D7A">
        <w:t xml:space="preserve">Q2 – </w:t>
      </w:r>
      <w:r w:rsidR="003A3F49">
        <w:t>À</w:t>
      </w:r>
      <w:r w:rsidR="003A3F49" w:rsidRPr="00240D7A">
        <w:t xml:space="preserve"> </w:t>
      </w:r>
      <w:r w:rsidRPr="00240D7A">
        <w:t xml:space="preserve">quelles conditions des </w:t>
      </w:r>
      <w:r w:rsidR="003A3F49">
        <w:t xml:space="preserve">acteurs </w:t>
      </w:r>
      <w:r w:rsidRPr="00240D7A">
        <w:t>socio-professionnels peuvent-ils adhérer à la charte ?</w:t>
      </w:r>
      <w:bookmarkEnd w:id="1"/>
    </w:p>
    <w:p w:rsidR="008A201D" w:rsidRDefault="008A201D" w:rsidP="00D708D9">
      <w:pPr>
        <w:tabs>
          <w:tab w:val="left" w:pos="2467"/>
        </w:tabs>
        <w:jc w:val="both"/>
      </w:pPr>
      <w:r>
        <w:t xml:space="preserve">Concernant les socio-professionnels, leur activité professionnelle </w:t>
      </w:r>
      <w:r w:rsidR="003A3F49">
        <w:t xml:space="preserve">(liée au tourisme, à la pêche, à la conduite d’étude, etc.) </w:t>
      </w:r>
      <w:r>
        <w:t>ne peut pas être considérée en tant que telle comme une participation aux actions d’étude et de préservation (ex. sensibilisation par des guides touristique</w:t>
      </w:r>
      <w:r w:rsidR="003A3F49">
        <w:t>s</w:t>
      </w:r>
      <w:r>
        <w:t>, prestation par des bureau</w:t>
      </w:r>
      <w:r w:rsidR="00240D7A">
        <w:t>x</w:t>
      </w:r>
      <w:r>
        <w:t xml:space="preserve"> d’étude</w:t>
      </w:r>
      <w:r w:rsidR="00240D7A">
        <w:t>/autoentrepreneurs</w:t>
      </w:r>
      <w:r>
        <w:t xml:space="preserve">). Leur implication doit être justifiée par </w:t>
      </w:r>
      <w:r w:rsidR="00240D7A">
        <w:t xml:space="preserve">des actions </w:t>
      </w:r>
      <w:r w:rsidR="003A3F49">
        <w:t xml:space="preserve">menées </w:t>
      </w:r>
      <w:r>
        <w:t>au-delà de l</w:t>
      </w:r>
      <w:r w:rsidR="003A3F49">
        <w:t>a nature de l</w:t>
      </w:r>
      <w:r>
        <w:t>eur activité professionnelle</w:t>
      </w:r>
      <w:r w:rsidR="003A3F49">
        <w:t>, et définies au Plan National d’Action (ex. participation de clubs de plongée au suivi « </w:t>
      </w:r>
      <w:proofErr w:type="spellStart"/>
      <w:r w:rsidR="003A3F49">
        <w:t>INAScuba</w:t>
      </w:r>
      <w:proofErr w:type="spellEnd"/>
      <w:r w:rsidR="003A3F49">
        <w:t> », à relancer d’après décision des COTEC dans le cadre de la fiche action n°23)</w:t>
      </w:r>
      <w:r>
        <w:t xml:space="preserve">. </w:t>
      </w:r>
    </w:p>
    <w:p w:rsidR="00240D7A" w:rsidRDefault="00240D7A" w:rsidP="00D708D9">
      <w:pPr>
        <w:tabs>
          <w:tab w:val="left" w:pos="2467"/>
        </w:tabs>
        <w:jc w:val="both"/>
      </w:pPr>
      <w:r>
        <w:t xml:space="preserve">Le </w:t>
      </w:r>
      <w:r w:rsidR="003A3F49">
        <w:t xml:space="preserve">simple </w:t>
      </w:r>
      <w:r>
        <w:t>respect de la règlementation ou d’une charte de bonne conduite de l’approche des tortues marines n’est pas une justification suffisante pour être membre du réseau.</w:t>
      </w:r>
      <w:r w:rsidR="003A3F49">
        <w:t xml:space="preserve"> </w:t>
      </w:r>
    </w:p>
    <w:p w:rsidR="00240D7A" w:rsidRDefault="00240D7A" w:rsidP="00D708D9">
      <w:pPr>
        <w:tabs>
          <w:tab w:val="left" w:pos="2467"/>
        </w:tabs>
        <w:jc w:val="both"/>
      </w:pPr>
      <w:r>
        <w:t>L’adhésion à la charte n’est pas une validation/labellisation des activités professionnelles de la structure.</w:t>
      </w:r>
    </w:p>
    <w:p w:rsidR="003A3F49" w:rsidRPr="003A3F49" w:rsidRDefault="003A3F49" w:rsidP="003A3F49">
      <w:pPr>
        <w:tabs>
          <w:tab w:val="left" w:pos="2467"/>
        </w:tabs>
        <w:jc w:val="both"/>
        <w:rPr>
          <w:b/>
        </w:rPr>
      </w:pPr>
      <w:r>
        <w:rPr>
          <w:b/>
        </w:rPr>
        <w:t xml:space="preserve">Un acteur du réseau est donc une structure participant à la mise en œuvre d’une ou plusieurs actions définie(s) au PNA. </w:t>
      </w:r>
    </w:p>
    <w:p w:rsidR="00187EF8" w:rsidRDefault="00187EF8" w:rsidP="00CF262C">
      <w:pPr>
        <w:pStyle w:val="Titre1"/>
      </w:pPr>
      <w:bookmarkStart w:id="2" w:name="_Toc90455996"/>
      <w:r w:rsidRPr="00187EF8">
        <w:t>Q</w:t>
      </w:r>
      <w:r w:rsidR="00240D7A">
        <w:t>3</w:t>
      </w:r>
      <w:r w:rsidRPr="00187EF8">
        <w:t xml:space="preserve"> – Qui seront les membres signataire</w:t>
      </w:r>
      <w:r w:rsidR="00CF262C">
        <w:t>s</w:t>
      </w:r>
      <w:r w:rsidRPr="00187EF8">
        <w:t xml:space="preserve"> de la charte dans un premier temps ?</w:t>
      </w:r>
      <w:bookmarkEnd w:id="2"/>
    </w:p>
    <w:p w:rsidR="00187EF8" w:rsidRDefault="00187EF8" w:rsidP="00D708D9">
      <w:pPr>
        <w:tabs>
          <w:tab w:val="left" w:pos="2467"/>
        </w:tabs>
        <w:jc w:val="both"/>
      </w:pPr>
      <w:r>
        <w:t>Seront invités à être les premiers signataires</w:t>
      </w:r>
      <w:r w:rsidR="003A3F49">
        <w:t xml:space="preserve"> de la charte</w:t>
      </w:r>
      <w:r>
        <w:t xml:space="preserve"> l’ensemble des membres</w:t>
      </w:r>
      <w:r w:rsidR="003A3F49">
        <w:t xml:space="preserve"> actuels</w:t>
      </w:r>
      <w:r>
        <w:t xml:space="preserve"> du COTEC et du COPIL tels que défini dans le PNA</w:t>
      </w:r>
      <w:r w:rsidR="008A201D">
        <w:t xml:space="preserve"> (cf</w:t>
      </w:r>
      <w:r w:rsidR="00AF3380">
        <w:t>.</w:t>
      </w:r>
      <w:r w:rsidR="008A201D">
        <w:t xml:space="preserve"> ci-dessous)</w:t>
      </w:r>
      <w:r>
        <w:t>.</w:t>
      </w:r>
      <w:r w:rsidR="008A201D">
        <w:t xml:space="preserve"> Les candidatures reçues dans le courant de l’année</w:t>
      </w:r>
      <w:r w:rsidR="00AF3380">
        <w:t xml:space="preserve"> 2022</w:t>
      </w:r>
      <w:r w:rsidR="008A201D">
        <w:t xml:space="preserve"> seront évaluées par les membres du COTEC et du COPIL lorsqu’ils se réuniront en fin d‘année</w:t>
      </w:r>
      <w:r w:rsidR="00AF3380">
        <w:t xml:space="preserve"> 2022</w:t>
      </w:r>
      <w:r w:rsidR="008A201D">
        <w:t>.</w:t>
      </w:r>
    </w:p>
    <w:p w:rsidR="006B4C9A" w:rsidRDefault="006B4C9A">
      <w:pPr>
        <w:rPr>
          <w:b/>
          <w:i/>
          <w:color w:val="4472C4" w:themeColor="accent5"/>
          <w:u w:val="single"/>
        </w:rPr>
      </w:pPr>
      <w:r>
        <w:rPr>
          <w:b/>
          <w:i/>
          <w:color w:val="4472C4" w:themeColor="accent5"/>
          <w:u w:val="single"/>
        </w:rPr>
        <w:br w:type="page"/>
      </w:r>
    </w:p>
    <w:p w:rsidR="00187EF8" w:rsidRPr="006B4C9A" w:rsidRDefault="00187EF8" w:rsidP="00D708D9">
      <w:pPr>
        <w:tabs>
          <w:tab w:val="left" w:pos="2467"/>
        </w:tabs>
        <w:jc w:val="both"/>
        <w:rPr>
          <w:b/>
          <w:i/>
          <w:color w:val="4472C4" w:themeColor="accent5"/>
          <w:sz w:val="18"/>
          <w:u w:val="single"/>
        </w:rPr>
      </w:pPr>
      <w:r w:rsidRPr="006B4C9A">
        <w:rPr>
          <w:b/>
          <w:i/>
          <w:color w:val="4472C4" w:themeColor="accent5"/>
          <w:sz w:val="18"/>
          <w:u w:val="single"/>
        </w:rPr>
        <w:lastRenderedPageBreak/>
        <w:t>Extrait du PNA 2020-2029</w:t>
      </w:r>
    </w:p>
    <w:p w:rsidR="008A201D" w:rsidRPr="006B4C9A" w:rsidRDefault="008A201D" w:rsidP="00D708D9">
      <w:pPr>
        <w:tabs>
          <w:tab w:val="left" w:pos="2467"/>
        </w:tabs>
        <w:jc w:val="both"/>
        <w:rPr>
          <w:b/>
          <w:i/>
          <w:color w:val="4472C4" w:themeColor="accent5"/>
          <w:sz w:val="18"/>
        </w:rPr>
      </w:pPr>
      <w:r w:rsidRPr="006B4C9A">
        <w:rPr>
          <w:b/>
          <w:i/>
          <w:color w:val="4472C4" w:themeColor="accent5"/>
          <w:sz w:val="18"/>
        </w:rPr>
        <w:t>F.3.1. Le comité de pilotage</w:t>
      </w:r>
    </w:p>
    <w:p w:rsidR="008A201D" w:rsidRPr="006B4C9A" w:rsidRDefault="008A201D" w:rsidP="008A201D">
      <w:pPr>
        <w:tabs>
          <w:tab w:val="left" w:pos="2467"/>
        </w:tabs>
        <w:spacing w:after="0"/>
        <w:jc w:val="both"/>
        <w:rPr>
          <w:i/>
          <w:color w:val="4472C4" w:themeColor="accent5"/>
          <w:sz w:val="18"/>
        </w:rPr>
      </w:pPr>
      <w:r w:rsidRPr="006B4C9A">
        <w:rPr>
          <w:i/>
          <w:color w:val="4472C4" w:themeColor="accent5"/>
          <w:sz w:val="18"/>
        </w:rPr>
        <w:t>« La composition du comité de pilotage est la suivante :</w:t>
      </w:r>
    </w:p>
    <w:p w:rsidR="008A201D" w:rsidRPr="006B4C9A" w:rsidRDefault="008A201D" w:rsidP="008A201D">
      <w:pPr>
        <w:tabs>
          <w:tab w:val="left" w:pos="2467"/>
        </w:tabs>
        <w:spacing w:after="0"/>
        <w:jc w:val="both"/>
        <w:rPr>
          <w:i/>
          <w:color w:val="4472C4" w:themeColor="accent5"/>
          <w:sz w:val="18"/>
        </w:rPr>
      </w:pPr>
      <w:r w:rsidRPr="006B4C9A">
        <w:rPr>
          <w:i/>
          <w:color w:val="4472C4" w:themeColor="accent5"/>
          <w:sz w:val="18"/>
        </w:rPr>
        <w:t>- Préfet de Guadeloupe,</w:t>
      </w:r>
    </w:p>
    <w:p w:rsidR="008A201D" w:rsidRPr="006B4C9A" w:rsidRDefault="008A201D" w:rsidP="008A201D">
      <w:pPr>
        <w:tabs>
          <w:tab w:val="left" w:pos="2467"/>
        </w:tabs>
        <w:spacing w:after="0"/>
        <w:jc w:val="both"/>
        <w:rPr>
          <w:i/>
          <w:color w:val="4472C4" w:themeColor="accent5"/>
          <w:sz w:val="18"/>
        </w:rPr>
      </w:pPr>
      <w:r w:rsidRPr="006B4C9A">
        <w:rPr>
          <w:i/>
          <w:color w:val="4472C4" w:themeColor="accent5"/>
          <w:sz w:val="18"/>
        </w:rPr>
        <w:t>- Préfet de Martinique,</w:t>
      </w:r>
    </w:p>
    <w:p w:rsidR="008A201D" w:rsidRPr="006B4C9A" w:rsidRDefault="008A201D" w:rsidP="008A201D">
      <w:pPr>
        <w:tabs>
          <w:tab w:val="left" w:pos="2467"/>
        </w:tabs>
        <w:spacing w:after="0"/>
        <w:jc w:val="both"/>
        <w:rPr>
          <w:i/>
          <w:color w:val="4472C4" w:themeColor="accent5"/>
          <w:sz w:val="18"/>
        </w:rPr>
      </w:pPr>
      <w:r w:rsidRPr="006B4C9A">
        <w:rPr>
          <w:i/>
          <w:color w:val="4472C4" w:themeColor="accent5"/>
          <w:sz w:val="18"/>
        </w:rPr>
        <w:t xml:space="preserve">- DEAL coordinatrice et DEAL associée </w:t>
      </w:r>
    </w:p>
    <w:p w:rsidR="008A201D" w:rsidRPr="006B4C9A" w:rsidRDefault="008A201D" w:rsidP="008A201D">
      <w:pPr>
        <w:tabs>
          <w:tab w:val="left" w:pos="2467"/>
        </w:tabs>
        <w:spacing w:after="0"/>
        <w:jc w:val="both"/>
        <w:rPr>
          <w:i/>
          <w:color w:val="4472C4" w:themeColor="accent5"/>
          <w:sz w:val="18"/>
        </w:rPr>
      </w:pPr>
      <w:r w:rsidRPr="006B4C9A">
        <w:rPr>
          <w:i/>
          <w:color w:val="4472C4" w:themeColor="accent5"/>
          <w:sz w:val="18"/>
        </w:rPr>
        <w:t>- Animation du PNA (ONF),</w:t>
      </w:r>
    </w:p>
    <w:p w:rsidR="008A201D" w:rsidRPr="006B4C9A" w:rsidRDefault="008A201D" w:rsidP="008A201D">
      <w:pPr>
        <w:tabs>
          <w:tab w:val="left" w:pos="2467"/>
        </w:tabs>
        <w:spacing w:after="0"/>
        <w:jc w:val="both"/>
        <w:rPr>
          <w:i/>
          <w:color w:val="4472C4" w:themeColor="accent5"/>
          <w:sz w:val="18"/>
        </w:rPr>
      </w:pPr>
      <w:r w:rsidRPr="006B4C9A">
        <w:rPr>
          <w:i/>
          <w:color w:val="4472C4" w:themeColor="accent5"/>
          <w:sz w:val="18"/>
        </w:rPr>
        <w:t>- Collectivités territoriales : Conseil Régional de Guadeloupe, Collectivité Territoriale de Martinique, Conseil Départemental de Guadeloupe, Collectivité de Saint-Martin ;</w:t>
      </w:r>
    </w:p>
    <w:p w:rsidR="008A201D" w:rsidRPr="006B4C9A" w:rsidRDefault="008A201D" w:rsidP="008A201D">
      <w:pPr>
        <w:tabs>
          <w:tab w:val="left" w:pos="2467"/>
        </w:tabs>
        <w:spacing w:after="0"/>
        <w:jc w:val="both"/>
        <w:rPr>
          <w:i/>
          <w:color w:val="4472C4" w:themeColor="accent5"/>
          <w:sz w:val="18"/>
        </w:rPr>
      </w:pPr>
      <w:r w:rsidRPr="006B4C9A">
        <w:rPr>
          <w:i/>
          <w:color w:val="4472C4" w:themeColor="accent5"/>
          <w:sz w:val="18"/>
        </w:rPr>
        <w:t>- Autres services de l’État à associer éventuellement au comité de pilotage selon les thématiques abordées : DM et DAAF de Guadeloupe et de Martinique »</w:t>
      </w:r>
    </w:p>
    <w:p w:rsidR="008A201D" w:rsidRPr="006B4C9A" w:rsidRDefault="008A201D" w:rsidP="008A201D">
      <w:pPr>
        <w:tabs>
          <w:tab w:val="left" w:pos="2467"/>
        </w:tabs>
        <w:spacing w:after="0"/>
        <w:jc w:val="both"/>
        <w:rPr>
          <w:i/>
          <w:color w:val="4472C4" w:themeColor="accent5"/>
          <w:sz w:val="18"/>
        </w:rPr>
      </w:pPr>
    </w:p>
    <w:p w:rsidR="00187EF8" w:rsidRPr="006B4C9A" w:rsidRDefault="008A201D" w:rsidP="00D708D9">
      <w:pPr>
        <w:tabs>
          <w:tab w:val="left" w:pos="2467"/>
        </w:tabs>
        <w:jc w:val="both"/>
        <w:rPr>
          <w:b/>
          <w:i/>
          <w:color w:val="4472C4" w:themeColor="accent5"/>
          <w:sz w:val="18"/>
        </w:rPr>
      </w:pPr>
      <w:r w:rsidRPr="006B4C9A">
        <w:rPr>
          <w:b/>
          <w:i/>
          <w:color w:val="4472C4" w:themeColor="accent5"/>
          <w:sz w:val="18"/>
        </w:rPr>
        <w:t>F.3.2. Les comités techniques</w:t>
      </w:r>
    </w:p>
    <w:tbl>
      <w:tblPr>
        <w:tblW w:w="9638" w:type="dxa"/>
        <w:tblLayout w:type="fixed"/>
        <w:tblCellMar>
          <w:left w:w="10" w:type="dxa"/>
          <w:right w:w="10" w:type="dxa"/>
        </w:tblCellMar>
        <w:tblLook w:val="04A0" w:firstRow="1" w:lastRow="0" w:firstColumn="1" w:lastColumn="0" w:noHBand="0" w:noVBand="1"/>
      </w:tblPr>
      <w:tblGrid>
        <w:gridCol w:w="4818"/>
        <w:gridCol w:w="4820"/>
      </w:tblGrid>
      <w:tr w:rsidR="00187EF8" w:rsidRPr="006B4C9A" w:rsidTr="008E7B11">
        <w:tc>
          <w:tcPr>
            <w:tcW w:w="4818" w:type="dxa"/>
            <w:tcBorders>
              <w:top w:val="single" w:sz="2" w:space="0" w:color="000000"/>
              <w:left w:val="single" w:sz="2" w:space="0" w:color="000000"/>
              <w:bottom w:val="single" w:sz="2" w:space="0" w:color="000000"/>
            </w:tcBorders>
            <w:tcMar>
              <w:top w:w="55" w:type="dxa"/>
              <w:left w:w="55" w:type="dxa"/>
              <w:bottom w:w="55" w:type="dxa"/>
              <w:right w:w="55" w:type="dxa"/>
            </w:tcMar>
          </w:tcPr>
          <w:p w:rsidR="00187EF8" w:rsidRPr="006B4C9A" w:rsidRDefault="00187EF8" w:rsidP="00187EF8">
            <w:pPr>
              <w:suppressLineNumbers/>
              <w:suppressAutoHyphens/>
              <w:autoSpaceDN w:val="0"/>
              <w:spacing w:after="0" w:line="288" w:lineRule="auto"/>
              <w:jc w:val="center"/>
              <w:textAlignment w:val="baseline"/>
              <w:rPr>
                <w:rFonts w:ascii="Arial" w:eastAsia="Arial" w:hAnsi="Arial" w:cs="Arial"/>
                <w:b/>
                <w:bCs/>
                <w:i/>
                <w:color w:val="4472C4" w:themeColor="accent5"/>
                <w:kern w:val="3"/>
                <w:sz w:val="16"/>
                <w:szCs w:val="20"/>
                <w:lang w:eastAsia="zh-CN" w:bidi="hi-IN"/>
              </w:rPr>
            </w:pPr>
            <w:r w:rsidRPr="006B4C9A">
              <w:rPr>
                <w:rFonts w:ascii="Arial" w:eastAsia="Arial" w:hAnsi="Arial" w:cs="Arial"/>
                <w:b/>
                <w:bCs/>
                <w:i/>
                <w:color w:val="4472C4" w:themeColor="accent5"/>
                <w:kern w:val="3"/>
                <w:sz w:val="16"/>
                <w:szCs w:val="20"/>
                <w:lang w:eastAsia="zh-CN" w:bidi="hi-IN"/>
              </w:rPr>
              <w:t>Comité technique de Martinique</w:t>
            </w:r>
          </w:p>
        </w:tc>
        <w:tc>
          <w:tcPr>
            <w:tcW w:w="482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187EF8">
            <w:pPr>
              <w:suppressLineNumbers/>
              <w:suppressAutoHyphens/>
              <w:autoSpaceDN w:val="0"/>
              <w:spacing w:after="0" w:line="288" w:lineRule="auto"/>
              <w:jc w:val="center"/>
              <w:textAlignment w:val="baseline"/>
              <w:rPr>
                <w:rFonts w:ascii="Arial" w:eastAsia="Arial" w:hAnsi="Arial" w:cs="Arial"/>
                <w:b/>
                <w:bCs/>
                <w:i/>
                <w:color w:val="4472C4" w:themeColor="accent5"/>
                <w:kern w:val="3"/>
                <w:sz w:val="16"/>
                <w:szCs w:val="20"/>
                <w:lang w:eastAsia="zh-CN" w:bidi="hi-IN"/>
              </w:rPr>
            </w:pPr>
            <w:r w:rsidRPr="006B4C9A">
              <w:rPr>
                <w:rFonts w:ascii="Arial" w:eastAsia="Arial" w:hAnsi="Arial" w:cs="Arial"/>
                <w:b/>
                <w:bCs/>
                <w:i/>
                <w:color w:val="4472C4" w:themeColor="accent5"/>
                <w:kern w:val="3"/>
                <w:sz w:val="16"/>
                <w:szCs w:val="20"/>
                <w:lang w:eastAsia="zh-CN" w:bidi="hi-IN"/>
              </w:rPr>
              <w:t>Comité technique de Guadeloupe et Saint-Martin</w:t>
            </w:r>
          </w:p>
        </w:tc>
      </w:tr>
      <w:tr w:rsidR="00187EF8" w:rsidRPr="006B4C9A" w:rsidTr="008E7B11">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187EF8">
            <w:pPr>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Animateur du PNA</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187EF8">
            <w:pPr>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Animateur du PNA</w:t>
            </w:r>
          </w:p>
        </w:tc>
      </w:tr>
      <w:tr w:rsidR="00187EF8" w:rsidRPr="006B4C9A" w:rsidTr="008E7B11">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187EF8">
            <w:pPr>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DEAL 972</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187EF8">
            <w:pPr>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DEAL 971</w:t>
            </w:r>
          </w:p>
        </w:tc>
      </w:tr>
      <w:tr w:rsidR="00187EF8" w:rsidRPr="006B4C9A" w:rsidTr="008E7B11">
        <w:trPr>
          <w:trHeight w:val="855"/>
        </w:trPr>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187EF8">
            <w:pPr>
              <w:suppressLineNumbers/>
              <w:suppressAutoHyphens/>
              <w:autoSpaceDN w:val="0"/>
              <w:spacing w:after="0" w:line="288" w:lineRule="auto"/>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Collectivité Territoriale de Martinique</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187EF8">
            <w:pPr>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Collectivités territoriales : Conseil Régional 971, Conseil Départemental 971, Collectivité de Saint-Martin</w:t>
            </w:r>
          </w:p>
        </w:tc>
      </w:tr>
      <w:tr w:rsidR="00187EF8" w:rsidRPr="006B4C9A" w:rsidTr="008E7B11">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187EF8">
            <w:pPr>
              <w:suppressAutoHyphens/>
              <w:autoSpaceDN w:val="0"/>
              <w:spacing w:after="0" w:line="288" w:lineRule="auto"/>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ONCFS (cellule technique)</w:t>
            </w:r>
            <w:r w:rsidR="00AF3380" w:rsidRPr="006B4C9A">
              <w:rPr>
                <w:rFonts w:ascii="Arial" w:eastAsia="Arial" w:hAnsi="Arial" w:cs="Arial"/>
                <w:i/>
                <w:color w:val="4472C4" w:themeColor="accent5"/>
                <w:kern w:val="3"/>
                <w:sz w:val="16"/>
                <w:szCs w:val="20"/>
                <w:lang w:eastAsia="zh-CN" w:bidi="hi-IN"/>
              </w:rPr>
              <w:t xml:space="preserve"> </w:t>
            </w:r>
            <w:r w:rsidR="00AF3380" w:rsidRPr="006B4C9A">
              <w:rPr>
                <w:rFonts w:ascii="Arial" w:eastAsia="Arial" w:hAnsi="Arial" w:cs="Arial"/>
                <w:i/>
                <w:color w:val="4472C4" w:themeColor="accent5"/>
                <w:kern w:val="3"/>
                <w:sz w:val="16"/>
                <w:szCs w:val="20"/>
                <w:lang w:eastAsia="zh-CN" w:bidi="hi-IN"/>
              </w:rPr>
              <w:sym w:font="Wingdings" w:char="F0E8"/>
            </w:r>
            <w:r w:rsidR="00AF3380" w:rsidRPr="006B4C9A">
              <w:rPr>
                <w:rFonts w:ascii="Arial" w:eastAsia="Arial" w:hAnsi="Arial" w:cs="Arial"/>
                <w:i/>
                <w:color w:val="4472C4" w:themeColor="accent5"/>
                <w:kern w:val="3"/>
                <w:sz w:val="16"/>
                <w:szCs w:val="20"/>
                <w:lang w:eastAsia="zh-CN" w:bidi="hi-IN"/>
              </w:rPr>
              <w:t xml:space="preserve"> devenu OFB</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187EF8">
            <w:pPr>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ONCFS (cellule technique)</w:t>
            </w:r>
            <w:r w:rsidR="00AF3380" w:rsidRPr="006B4C9A">
              <w:rPr>
                <w:rFonts w:ascii="Arial" w:eastAsia="Arial" w:hAnsi="Arial" w:cs="Arial"/>
                <w:i/>
                <w:color w:val="4472C4" w:themeColor="accent5"/>
                <w:kern w:val="3"/>
                <w:sz w:val="16"/>
                <w:szCs w:val="20"/>
                <w:lang w:eastAsia="zh-CN" w:bidi="hi-IN"/>
              </w:rPr>
              <w:t xml:space="preserve"> </w:t>
            </w:r>
            <w:r w:rsidR="00AF3380" w:rsidRPr="006B4C9A">
              <w:rPr>
                <w:rFonts w:ascii="Arial" w:eastAsia="Arial" w:hAnsi="Arial" w:cs="Arial"/>
                <w:i/>
                <w:color w:val="4472C4" w:themeColor="accent5"/>
                <w:kern w:val="3"/>
                <w:sz w:val="16"/>
                <w:szCs w:val="20"/>
                <w:lang w:eastAsia="zh-CN" w:bidi="hi-IN"/>
              </w:rPr>
              <w:sym w:font="Wingdings" w:char="F0E8"/>
            </w:r>
            <w:r w:rsidR="00AF3380" w:rsidRPr="006B4C9A">
              <w:rPr>
                <w:rFonts w:ascii="Arial" w:eastAsia="Arial" w:hAnsi="Arial" w:cs="Arial"/>
                <w:i/>
                <w:color w:val="4472C4" w:themeColor="accent5"/>
                <w:kern w:val="3"/>
                <w:sz w:val="16"/>
                <w:szCs w:val="20"/>
                <w:lang w:eastAsia="zh-CN" w:bidi="hi-IN"/>
              </w:rPr>
              <w:t xml:space="preserve"> devenu OFB</w:t>
            </w:r>
          </w:p>
        </w:tc>
      </w:tr>
      <w:tr w:rsidR="00187EF8" w:rsidRPr="006B4C9A" w:rsidTr="008E7B11">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187EF8">
            <w:pPr>
              <w:suppressAutoHyphens/>
              <w:autoSpaceDN w:val="0"/>
              <w:spacing w:after="0" w:line="288" w:lineRule="auto"/>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SMPE</w:t>
            </w:r>
            <w:r w:rsidR="00AF3380" w:rsidRPr="006B4C9A">
              <w:rPr>
                <w:rFonts w:ascii="Arial" w:eastAsia="Arial" w:hAnsi="Arial" w:cs="Arial"/>
                <w:i/>
                <w:color w:val="4472C4" w:themeColor="accent5"/>
                <w:kern w:val="3"/>
                <w:sz w:val="16"/>
                <w:szCs w:val="20"/>
                <w:lang w:eastAsia="zh-CN" w:bidi="hi-IN"/>
              </w:rPr>
              <w:t xml:space="preserve"> </w:t>
            </w:r>
            <w:r w:rsidR="00AF3380" w:rsidRPr="006B4C9A">
              <w:rPr>
                <w:rFonts w:ascii="Arial" w:eastAsia="Arial" w:hAnsi="Arial" w:cs="Arial"/>
                <w:i/>
                <w:color w:val="4472C4" w:themeColor="accent5"/>
                <w:kern w:val="3"/>
                <w:sz w:val="16"/>
                <w:szCs w:val="20"/>
                <w:lang w:eastAsia="zh-CN" w:bidi="hi-IN"/>
              </w:rPr>
              <w:sym w:font="Wingdings" w:char="F0E8"/>
            </w:r>
            <w:r w:rsidR="00AF3380" w:rsidRPr="006B4C9A">
              <w:rPr>
                <w:rFonts w:ascii="Arial" w:eastAsia="Arial" w:hAnsi="Arial" w:cs="Arial"/>
                <w:i/>
                <w:color w:val="4472C4" w:themeColor="accent5"/>
                <w:kern w:val="3"/>
                <w:sz w:val="16"/>
                <w:szCs w:val="20"/>
                <w:lang w:eastAsia="zh-CN" w:bidi="hi-IN"/>
              </w:rPr>
              <w:t xml:space="preserve"> devenu service départemental (OFB)</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187EF8">
            <w:pPr>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SMPE</w:t>
            </w:r>
            <w:r w:rsidR="00AF3380" w:rsidRPr="006B4C9A">
              <w:rPr>
                <w:rFonts w:ascii="Arial" w:eastAsia="Arial" w:hAnsi="Arial" w:cs="Arial"/>
                <w:i/>
                <w:color w:val="4472C4" w:themeColor="accent5"/>
                <w:kern w:val="3"/>
                <w:sz w:val="16"/>
                <w:szCs w:val="20"/>
                <w:lang w:eastAsia="zh-CN" w:bidi="hi-IN"/>
              </w:rPr>
              <w:t xml:space="preserve"> </w:t>
            </w:r>
            <w:r w:rsidR="00AF3380" w:rsidRPr="006B4C9A">
              <w:rPr>
                <w:rFonts w:ascii="Arial" w:eastAsia="Arial" w:hAnsi="Arial" w:cs="Arial"/>
                <w:i/>
                <w:color w:val="4472C4" w:themeColor="accent5"/>
                <w:kern w:val="3"/>
                <w:sz w:val="16"/>
                <w:szCs w:val="20"/>
                <w:lang w:eastAsia="zh-CN" w:bidi="hi-IN"/>
              </w:rPr>
              <w:sym w:font="Wingdings" w:char="F0E8"/>
            </w:r>
            <w:r w:rsidR="00AF3380" w:rsidRPr="006B4C9A">
              <w:rPr>
                <w:rFonts w:ascii="Arial" w:eastAsia="Arial" w:hAnsi="Arial" w:cs="Arial"/>
                <w:i/>
                <w:color w:val="4472C4" w:themeColor="accent5"/>
                <w:kern w:val="3"/>
                <w:sz w:val="16"/>
                <w:szCs w:val="20"/>
                <w:lang w:eastAsia="zh-CN" w:bidi="hi-IN"/>
              </w:rPr>
              <w:t xml:space="preserve"> devenu service départemental (OFB)</w:t>
            </w:r>
          </w:p>
        </w:tc>
      </w:tr>
      <w:tr w:rsidR="00187EF8" w:rsidRPr="006B4C9A" w:rsidTr="008E7B11">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187EF8">
            <w:pPr>
              <w:suppressAutoHyphens/>
              <w:autoSpaceDN w:val="0"/>
              <w:spacing w:after="0" w:line="288" w:lineRule="auto"/>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Direction de la Mer 972 / AEM</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187EF8">
            <w:pPr>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Direction de la Mer 971 / AEM</w:t>
            </w:r>
          </w:p>
        </w:tc>
      </w:tr>
      <w:tr w:rsidR="00187EF8" w:rsidRPr="006B4C9A" w:rsidTr="008E7B11">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187EF8">
            <w:pPr>
              <w:suppressAutoHyphens/>
              <w:autoSpaceDN w:val="0"/>
              <w:spacing w:after="0" w:line="288" w:lineRule="auto"/>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Gestionnaires d’espaces naturels protégés : Parc Naturel Régional de la Martinique, Parc Naturel Marin de la Martinique, Agence des 50 pas</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187EF8">
            <w:pPr>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Gestionnaires d’espaces naturels protégés : Parc National de la Guadeloupe, Agence des 50 pas, ONF TiTè, AGRNSM</w:t>
            </w:r>
          </w:p>
        </w:tc>
      </w:tr>
      <w:tr w:rsidR="00187EF8" w:rsidRPr="006B4C9A" w:rsidTr="008E7B11">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187EF8">
            <w:pPr>
              <w:suppressLineNumbers/>
              <w:suppressAutoHyphens/>
              <w:autoSpaceDN w:val="0"/>
              <w:spacing w:after="0" w:line="288" w:lineRule="auto"/>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Agence Française de la Biodiversité</w:t>
            </w:r>
            <w:r w:rsidR="00AF3380" w:rsidRPr="006B4C9A">
              <w:rPr>
                <w:rFonts w:ascii="Arial" w:eastAsia="Arial" w:hAnsi="Arial" w:cs="Arial"/>
                <w:i/>
                <w:color w:val="4472C4" w:themeColor="accent5"/>
                <w:kern w:val="3"/>
                <w:sz w:val="16"/>
                <w:szCs w:val="20"/>
                <w:lang w:eastAsia="zh-CN" w:bidi="hi-IN"/>
              </w:rPr>
              <w:t xml:space="preserve"> </w:t>
            </w:r>
            <w:r w:rsidR="00AF3380" w:rsidRPr="006B4C9A">
              <w:rPr>
                <w:rFonts w:ascii="Arial" w:eastAsia="Arial" w:hAnsi="Arial" w:cs="Arial"/>
                <w:i/>
                <w:color w:val="4472C4" w:themeColor="accent5"/>
                <w:kern w:val="3"/>
                <w:sz w:val="16"/>
                <w:szCs w:val="20"/>
                <w:lang w:eastAsia="zh-CN" w:bidi="hi-IN"/>
              </w:rPr>
              <w:sym w:font="Wingdings" w:char="F0E8"/>
            </w:r>
            <w:r w:rsidR="00AF3380" w:rsidRPr="006B4C9A">
              <w:rPr>
                <w:rFonts w:ascii="Arial" w:eastAsia="Arial" w:hAnsi="Arial" w:cs="Arial"/>
                <w:i/>
                <w:color w:val="4472C4" w:themeColor="accent5"/>
                <w:kern w:val="3"/>
                <w:sz w:val="16"/>
                <w:szCs w:val="20"/>
                <w:lang w:eastAsia="zh-CN" w:bidi="hi-IN"/>
              </w:rPr>
              <w:t xml:space="preserve"> devenue OFB</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187EF8">
            <w:pPr>
              <w:suppressLineNumbers/>
              <w:suppressAutoHyphens/>
              <w:autoSpaceDN w:val="0"/>
              <w:spacing w:after="0" w:line="288" w:lineRule="auto"/>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Agence Française de la Biodiversité</w:t>
            </w:r>
            <w:r w:rsidR="00AF3380" w:rsidRPr="006B4C9A">
              <w:rPr>
                <w:rFonts w:ascii="Arial" w:eastAsia="Arial" w:hAnsi="Arial" w:cs="Arial"/>
                <w:i/>
                <w:color w:val="4472C4" w:themeColor="accent5"/>
                <w:kern w:val="3"/>
                <w:sz w:val="16"/>
                <w:szCs w:val="20"/>
                <w:lang w:eastAsia="zh-CN" w:bidi="hi-IN"/>
              </w:rPr>
              <w:t xml:space="preserve"> </w:t>
            </w:r>
            <w:r w:rsidR="00AF3380" w:rsidRPr="006B4C9A">
              <w:rPr>
                <w:rFonts w:ascii="Arial" w:eastAsia="Arial" w:hAnsi="Arial" w:cs="Arial"/>
                <w:i/>
                <w:color w:val="4472C4" w:themeColor="accent5"/>
                <w:kern w:val="3"/>
                <w:sz w:val="16"/>
                <w:szCs w:val="20"/>
                <w:lang w:eastAsia="zh-CN" w:bidi="hi-IN"/>
              </w:rPr>
              <w:sym w:font="Wingdings" w:char="F0E8"/>
            </w:r>
            <w:r w:rsidR="00AF3380" w:rsidRPr="006B4C9A">
              <w:rPr>
                <w:rFonts w:ascii="Arial" w:eastAsia="Arial" w:hAnsi="Arial" w:cs="Arial"/>
                <w:i/>
                <w:color w:val="4472C4" w:themeColor="accent5"/>
                <w:kern w:val="3"/>
                <w:sz w:val="16"/>
                <w:szCs w:val="20"/>
                <w:lang w:eastAsia="zh-CN" w:bidi="hi-IN"/>
              </w:rPr>
              <w:t xml:space="preserve"> devenue OFB</w:t>
            </w:r>
          </w:p>
        </w:tc>
      </w:tr>
      <w:tr w:rsidR="00187EF8" w:rsidRPr="006B4C9A" w:rsidTr="008E7B11">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187EF8">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Conservatoire du Littoral</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187EF8">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Conservatoire du Littoral</w:t>
            </w:r>
          </w:p>
        </w:tc>
      </w:tr>
      <w:tr w:rsidR="00187EF8" w:rsidRPr="006B4C9A" w:rsidTr="008E7B11">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Communes littorales – Association des maires</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Communes littorales – Association des maires</w:t>
            </w:r>
          </w:p>
        </w:tc>
      </w:tr>
      <w:tr w:rsidR="00187EF8" w:rsidRPr="006B4C9A" w:rsidTr="008E7B11">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Contrats de territoire à vocation maritime</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Contrats de territoire à vocation maritime</w:t>
            </w:r>
          </w:p>
        </w:tc>
      </w:tr>
      <w:tr w:rsidR="00187EF8" w:rsidRPr="006B4C9A" w:rsidTr="008E7B11">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proofErr w:type="spellStart"/>
            <w:r w:rsidRPr="006B4C9A">
              <w:rPr>
                <w:rFonts w:ascii="Arial" w:eastAsia="Arial" w:hAnsi="Arial" w:cs="Arial"/>
                <w:i/>
                <w:color w:val="4472C4" w:themeColor="accent5"/>
                <w:kern w:val="3"/>
                <w:sz w:val="16"/>
                <w:szCs w:val="20"/>
                <w:lang w:eastAsia="zh-CN" w:bidi="hi-IN"/>
              </w:rPr>
              <w:t>Comités</w:t>
            </w:r>
            <w:proofErr w:type="spellEnd"/>
            <w:r w:rsidRPr="006B4C9A">
              <w:rPr>
                <w:rFonts w:ascii="Arial" w:eastAsia="Arial" w:hAnsi="Arial" w:cs="Arial"/>
                <w:i/>
                <w:color w:val="4472C4" w:themeColor="accent5"/>
                <w:kern w:val="3"/>
                <w:sz w:val="16"/>
                <w:szCs w:val="20"/>
                <w:lang w:eastAsia="zh-CN" w:bidi="hi-IN"/>
              </w:rPr>
              <w:t xml:space="preserve"> des </w:t>
            </w:r>
            <w:proofErr w:type="spellStart"/>
            <w:r w:rsidRPr="006B4C9A">
              <w:rPr>
                <w:rFonts w:ascii="Arial" w:eastAsia="Arial" w:hAnsi="Arial" w:cs="Arial"/>
                <w:i/>
                <w:color w:val="4472C4" w:themeColor="accent5"/>
                <w:kern w:val="3"/>
                <w:sz w:val="16"/>
                <w:szCs w:val="20"/>
                <w:lang w:eastAsia="zh-CN" w:bidi="hi-IN"/>
              </w:rPr>
              <w:t>pêches</w:t>
            </w:r>
            <w:proofErr w:type="spellEnd"/>
            <w:r w:rsidR="00AF3380" w:rsidRPr="006B4C9A">
              <w:rPr>
                <w:rFonts w:ascii="Arial" w:eastAsia="Arial" w:hAnsi="Arial" w:cs="Arial"/>
                <w:i/>
                <w:color w:val="4472C4" w:themeColor="accent5"/>
                <w:kern w:val="3"/>
                <w:sz w:val="16"/>
                <w:szCs w:val="20"/>
                <w:lang w:eastAsia="zh-CN" w:bidi="hi-IN"/>
              </w:rPr>
              <w:t xml:space="preserve"> (CRPMEM)</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proofErr w:type="spellStart"/>
            <w:r w:rsidRPr="006B4C9A">
              <w:rPr>
                <w:rFonts w:ascii="Arial" w:eastAsia="Arial" w:hAnsi="Arial" w:cs="Arial"/>
                <w:i/>
                <w:color w:val="4472C4" w:themeColor="accent5"/>
                <w:kern w:val="3"/>
                <w:sz w:val="16"/>
                <w:szCs w:val="20"/>
                <w:lang w:eastAsia="zh-CN" w:bidi="hi-IN"/>
              </w:rPr>
              <w:t>Comités</w:t>
            </w:r>
            <w:proofErr w:type="spellEnd"/>
            <w:r w:rsidRPr="006B4C9A">
              <w:rPr>
                <w:rFonts w:ascii="Arial" w:eastAsia="Arial" w:hAnsi="Arial" w:cs="Arial"/>
                <w:i/>
                <w:color w:val="4472C4" w:themeColor="accent5"/>
                <w:kern w:val="3"/>
                <w:sz w:val="16"/>
                <w:szCs w:val="20"/>
                <w:lang w:eastAsia="zh-CN" w:bidi="hi-IN"/>
              </w:rPr>
              <w:t xml:space="preserve"> des </w:t>
            </w:r>
            <w:proofErr w:type="spellStart"/>
            <w:r w:rsidRPr="006B4C9A">
              <w:rPr>
                <w:rFonts w:ascii="Arial" w:eastAsia="Arial" w:hAnsi="Arial" w:cs="Arial"/>
                <w:i/>
                <w:color w:val="4472C4" w:themeColor="accent5"/>
                <w:kern w:val="3"/>
                <w:sz w:val="16"/>
                <w:szCs w:val="20"/>
                <w:lang w:eastAsia="zh-CN" w:bidi="hi-IN"/>
              </w:rPr>
              <w:t>pêches</w:t>
            </w:r>
            <w:proofErr w:type="spellEnd"/>
            <w:r w:rsidR="00AF3380" w:rsidRPr="006B4C9A">
              <w:rPr>
                <w:rFonts w:ascii="Arial" w:eastAsia="Arial" w:hAnsi="Arial" w:cs="Arial"/>
                <w:i/>
                <w:color w:val="4472C4" w:themeColor="accent5"/>
                <w:kern w:val="3"/>
                <w:sz w:val="16"/>
                <w:szCs w:val="20"/>
                <w:lang w:eastAsia="zh-CN" w:bidi="hi-IN"/>
              </w:rPr>
              <w:t xml:space="preserve"> (CRPMEM-IG)</w:t>
            </w:r>
          </w:p>
        </w:tc>
      </w:tr>
      <w:tr w:rsidR="00187EF8" w:rsidRPr="006B4C9A" w:rsidTr="008E7B11">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CAR-SPAW</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CAR-SPAW</w:t>
            </w:r>
          </w:p>
        </w:tc>
      </w:tr>
      <w:tr w:rsidR="00187EF8" w:rsidRPr="006B4C9A" w:rsidTr="008E7B11">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Associations environnementales</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Associations environnementales</w:t>
            </w:r>
          </w:p>
        </w:tc>
      </w:tr>
      <w:tr w:rsidR="00187EF8" w:rsidRPr="006B4C9A" w:rsidTr="008E7B11">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 xml:space="preserve">FFESSM : </w:t>
            </w:r>
            <w:proofErr w:type="spellStart"/>
            <w:r w:rsidRPr="006B4C9A">
              <w:rPr>
                <w:rFonts w:ascii="Arial" w:eastAsia="Arial" w:hAnsi="Arial" w:cs="Arial"/>
                <w:i/>
                <w:color w:val="4472C4" w:themeColor="accent5"/>
                <w:kern w:val="3"/>
                <w:sz w:val="16"/>
                <w:szCs w:val="20"/>
                <w:lang w:eastAsia="zh-CN" w:bidi="hi-IN"/>
              </w:rPr>
              <w:t>Comités</w:t>
            </w:r>
            <w:proofErr w:type="spellEnd"/>
            <w:r w:rsidRPr="006B4C9A">
              <w:rPr>
                <w:rFonts w:ascii="Arial" w:eastAsia="Arial" w:hAnsi="Arial" w:cs="Arial"/>
                <w:i/>
                <w:color w:val="4472C4" w:themeColor="accent5"/>
                <w:kern w:val="3"/>
                <w:sz w:val="16"/>
                <w:szCs w:val="20"/>
                <w:lang w:eastAsia="zh-CN" w:bidi="hi-IN"/>
              </w:rPr>
              <w:t xml:space="preserve"> </w:t>
            </w:r>
            <w:proofErr w:type="spellStart"/>
            <w:r w:rsidRPr="006B4C9A">
              <w:rPr>
                <w:rFonts w:ascii="Arial" w:eastAsia="Arial" w:hAnsi="Arial" w:cs="Arial"/>
                <w:i/>
                <w:color w:val="4472C4" w:themeColor="accent5"/>
                <w:kern w:val="3"/>
                <w:sz w:val="16"/>
                <w:szCs w:val="20"/>
                <w:lang w:eastAsia="zh-CN" w:bidi="hi-IN"/>
              </w:rPr>
              <w:t>régionaux</w:t>
            </w:r>
            <w:proofErr w:type="spellEnd"/>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Centre de soins – IGREC Mer</w:t>
            </w:r>
          </w:p>
        </w:tc>
      </w:tr>
      <w:tr w:rsidR="00187EF8" w:rsidRPr="006B4C9A" w:rsidTr="008E7B11">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CNRS</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 xml:space="preserve">FFESSM : </w:t>
            </w:r>
            <w:proofErr w:type="spellStart"/>
            <w:r w:rsidRPr="006B4C9A">
              <w:rPr>
                <w:rFonts w:ascii="Arial" w:eastAsia="Arial" w:hAnsi="Arial" w:cs="Arial"/>
                <w:i/>
                <w:color w:val="4472C4" w:themeColor="accent5"/>
                <w:kern w:val="3"/>
                <w:sz w:val="16"/>
                <w:szCs w:val="20"/>
                <w:lang w:eastAsia="zh-CN" w:bidi="hi-IN"/>
              </w:rPr>
              <w:t>Comités</w:t>
            </w:r>
            <w:proofErr w:type="spellEnd"/>
            <w:r w:rsidRPr="006B4C9A">
              <w:rPr>
                <w:rFonts w:ascii="Arial" w:eastAsia="Arial" w:hAnsi="Arial" w:cs="Arial"/>
                <w:i/>
                <w:color w:val="4472C4" w:themeColor="accent5"/>
                <w:kern w:val="3"/>
                <w:sz w:val="16"/>
                <w:szCs w:val="20"/>
                <w:lang w:eastAsia="zh-CN" w:bidi="hi-IN"/>
              </w:rPr>
              <w:t xml:space="preserve"> </w:t>
            </w:r>
            <w:proofErr w:type="spellStart"/>
            <w:r w:rsidRPr="006B4C9A">
              <w:rPr>
                <w:rFonts w:ascii="Arial" w:eastAsia="Arial" w:hAnsi="Arial" w:cs="Arial"/>
                <w:i/>
                <w:color w:val="4472C4" w:themeColor="accent5"/>
                <w:kern w:val="3"/>
                <w:sz w:val="16"/>
                <w:szCs w:val="20"/>
                <w:lang w:eastAsia="zh-CN" w:bidi="hi-IN"/>
              </w:rPr>
              <w:t>régionaux</w:t>
            </w:r>
            <w:proofErr w:type="spellEnd"/>
          </w:p>
        </w:tc>
      </w:tr>
      <w:tr w:rsidR="00187EF8" w:rsidRPr="006B4C9A" w:rsidTr="008E7B11">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IFREMER</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CNRS</w:t>
            </w:r>
          </w:p>
        </w:tc>
      </w:tr>
      <w:tr w:rsidR="00187EF8" w:rsidRPr="006B4C9A" w:rsidTr="008E7B11">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Carbet des Sciences</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p>
        </w:tc>
      </w:tr>
      <w:tr w:rsidR="00187EF8" w:rsidRPr="006B4C9A" w:rsidTr="008E7B11">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CROSS</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CROSS</w:t>
            </w:r>
          </w:p>
        </w:tc>
      </w:tr>
      <w:tr w:rsidR="00187EF8" w:rsidRPr="006B4C9A" w:rsidTr="008E7B11">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SDIS</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SDIS</w:t>
            </w:r>
          </w:p>
        </w:tc>
      </w:tr>
      <w:tr w:rsidR="00187EF8" w:rsidRPr="006B4C9A" w:rsidTr="008E7B11">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Gendarmerie nationale</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Gendarmerie nationale</w:t>
            </w:r>
          </w:p>
        </w:tc>
      </w:tr>
      <w:tr w:rsidR="00187EF8" w:rsidRPr="006B4C9A" w:rsidTr="008E7B11">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CSRPN</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CSRPN</w:t>
            </w:r>
          </w:p>
        </w:tc>
      </w:tr>
      <w:tr w:rsidR="00187EF8" w:rsidRPr="006B4C9A" w:rsidTr="008E7B11">
        <w:tc>
          <w:tcPr>
            <w:tcW w:w="4818" w:type="dxa"/>
            <w:tcBorders>
              <w:left w:val="single" w:sz="2" w:space="0" w:color="000000"/>
              <w:bottom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 xml:space="preserve">Autres acteurs et </w:t>
            </w:r>
            <w:proofErr w:type="spellStart"/>
            <w:r w:rsidRPr="006B4C9A">
              <w:rPr>
                <w:rFonts w:ascii="Arial" w:eastAsia="Arial" w:hAnsi="Arial" w:cs="Arial"/>
                <w:i/>
                <w:color w:val="4472C4" w:themeColor="accent5"/>
                <w:kern w:val="3"/>
                <w:sz w:val="16"/>
                <w:szCs w:val="20"/>
                <w:lang w:eastAsia="zh-CN" w:bidi="hi-IN"/>
              </w:rPr>
              <w:t>opérateurs</w:t>
            </w:r>
            <w:proofErr w:type="spellEnd"/>
            <w:r w:rsidRPr="006B4C9A">
              <w:rPr>
                <w:rFonts w:ascii="Arial" w:eastAsia="Arial" w:hAnsi="Arial" w:cs="Arial"/>
                <w:i/>
                <w:color w:val="4472C4" w:themeColor="accent5"/>
                <w:kern w:val="3"/>
                <w:sz w:val="16"/>
                <w:szCs w:val="20"/>
                <w:lang w:eastAsia="zh-CN" w:bidi="hi-IN"/>
              </w:rPr>
              <w:t xml:space="preserve"> </w:t>
            </w:r>
            <w:proofErr w:type="spellStart"/>
            <w:r w:rsidRPr="006B4C9A">
              <w:rPr>
                <w:rFonts w:ascii="Arial" w:eastAsia="Arial" w:hAnsi="Arial" w:cs="Arial"/>
                <w:i/>
                <w:color w:val="4472C4" w:themeColor="accent5"/>
                <w:kern w:val="3"/>
                <w:sz w:val="16"/>
                <w:szCs w:val="20"/>
                <w:lang w:eastAsia="zh-CN" w:bidi="hi-IN"/>
              </w:rPr>
              <w:t>économiques</w:t>
            </w:r>
            <w:proofErr w:type="spellEnd"/>
            <w:r w:rsidRPr="006B4C9A">
              <w:rPr>
                <w:rFonts w:ascii="Arial" w:eastAsia="Arial" w:hAnsi="Arial" w:cs="Arial"/>
                <w:i/>
                <w:color w:val="4472C4" w:themeColor="accent5"/>
                <w:kern w:val="3"/>
                <w:sz w:val="16"/>
                <w:szCs w:val="20"/>
                <w:lang w:eastAsia="zh-CN" w:bidi="hi-IN"/>
              </w:rPr>
              <w:t xml:space="preserve"> du territoire ponctuellement </w:t>
            </w:r>
            <w:proofErr w:type="spellStart"/>
            <w:r w:rsidRPr="006B4C9A">
              <w:rPr>
                <w:rFonts w:ascii="Arial" w:eastAsia="Arial" w:hAnsi="Arial" w:cs="Arial"/>
                <w:i/>
                <w:color w:val="4472C4" w:themeColor="accent5"/>
                <w:kern w:val="3"/>
                <w:sz w:val="16"/>
                <w:szCs w:val="20"/>
                <w:lang w:eastAsia="zh-CN" w:bidi="hi-IN"/>
              </w:rPr>
              <w:t>associés</w:t>
            </w:r>
            <w:proofErr w:type="spellEnd"/>
            <w:r w:rsidRPr="006B4C9A">
              <w:rPr>
                <w:rFonts w:ascii="Arial" w:eastAsia="Arial" w:hAnsi="Arial" w:cs="Arial"/>
                <w:i/>
                <w:color w:val="4472C4" w:themeColor="accent5"/>
                <w:kern w:val="3"/>
                <w:sz w:val="16"/>
                <w:szCs w:val="20"/>
                <w:lang w:eastAsia="zh-CN" w:bidi="hi-IN"/>
              </w:rPr>
              <w:t xml:space="preserve"> au regard des </w:t>
            </w:r>
            <w:proofErr w:type="spellStart"/>
            <w:r w:rsidRPr="006B4C9A">
              <w:rPr>
                <w:rFonts w:ascii="Arial" w:eastAsia="Arial" w:hAnsi="Arial" w:cs="Arial"/>
                <w:i/>
                <w:color w:val="4472C4" w:themeColor="accent5"/>
                <w:kern w:val="3"/>
                <w:sz w:val="16"/>
                <w:szCs w:val="20"/>
                <w:lang w:eastAsia="zh-CN" w:bidi="hi-IN"/>
              </w:rPr>
              <w:t>thématiques</w:t>
            </w:r>
            <w:proofErr w:type="spellEnd"/>
            <w:r w:rsidRPr="006B4C9A">
              <w:rPr>
                <w:rFonts w:ascii="Arial" w:eastAsia="Arial" w:hAnsi="Arial" w:cs="Arial"/>
                <w:i/>
                <w:color w:val="4472C4" w:themeColor="accent5"/>
                <w:kern w:val="3"/>
                <w:sz w:val="16"/>
                <w:szCs w:val="20"/>
                <w:lang w:eastAsia="zh-CN" w:bidi="hi-IN"/>
              </w:rPr>
              <w:t xml:space="preserve"> </w:t>
            </w:r>
            <w:proofErr w:type="spellStart"/>
            <w:r w:rsidRPr="006B4C9A">
              <w:rPr>
                <w:rFonts w:ascii="Arial" w:eastAsia="Arial" w:hAnsi="Arial" w:cs="Arial"/>
                <w:i/>
                <w:color w:val="4472C4" w:themeColor="accent5"/>
                <w:kern w:val="3"/>
                <w:sz w:val="16"/>
                <w:szCs w:val="20"/>
                <w:lang w:eastAsia="zh-CN" w:bidi="hi-IN"/>
              </w:rPr>
              <w:t>abordées</w:t>
            </w:r>
            <w:proofErr w:type="spellEnd"/>
            <w:r w:rsidRPr="006B4C9A">
              <w:rPr>
                <w:rFonts w:ascii="Arial" w:eastAsia="Arial" w:hAnsi="Arial" w:cs="Arial"/>
                <w:i/>
                <w:color w:val="4472C4" w:themeColor="accent5"/>
                <w:kern w:val="3"/>
                <w:sz w:val="16"/>
                <w:szCs w:val="20"/>
                <w:lang w:eastAsia="zh-CN" w:bidi="hi-IN"/>
              </w:rPr>
              <w:t xml:space="preserve">  et partenaires autres</w:t>
            </w:r>
          </w:p>
        </w:tc>
        <w:tc>
          <w:tcPr>
            <w:tcW w:w="48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87EF8" w:rsidRPr="006B4C9A" w:rsidRDefault="00187EF8" w:rsidP="00AF3380">
            <w:pPr>
              <w:suppressLineNumbers/>
              <w:suppressAutoHyphens/>
              <w:autoSpaceDN w:val="0"/>
              <w:spacing w:after="0" w:line="288" w:lineRule="auto"/>
              <w:jc w:val="both"/>
              <w:textAlignment w:val="baseline"/>
              <w:rPr>
                <w:rFonts w:ascii="Arial" w:eastAsia="Arial" w:hAnsi="Arial" w:cs="Arial"/>
                <w:i/>
                <w:color w:val="4472C4" w:themeColor="accent5"/>
                <w:kern w:val="3"/>
                <w:sz w:val="16"/>
                <w:szCs w:val="20"/>
                <w:lang w:eastAsia="zh-CN" w:bidi="hi-IN"/>
              </w:rPr>
            </w:pPr>
            <w:r w:rsidRPr="006B4C9A">
              <w:rPr>
                <w:rFonts w:ascii="Arial" w:eastAsia="Arial" w:hAnsi="Arial" w:cs="Arial"/>
                <w:i/>
                <w:color w:val="4472C4" w:themeColor="accent5"/>
                <w:kern w:val="3"/>
                <w:sz w:val="16"/>
                <w:szCs w:val="20"/>
                <w:lang w:eastAsia="zh-CN" w:bidi="hi-IN"/>
              </w:rPr>
              <w:t xml:space="preserve">Autres acteurs et </w:t>
            </w:r>
            <w:proofErr w:type="spellStart"/>
            <w:r w:rsidRPr="006B4C9A">
              <w:rPr>
                <w:rFonts w:ascii="Arial" w:eastAsia="Arial" w:hAnsi="Arial" w:cs="Arial"/>
                <w:i/>
                <w:color w:val="4472C4" w:themeColor="accent5"/>
                <w:kern w:val="3"/>
                <w:sz w:val="16"/>
                <w:szCs w:val="20"/>
                <w:lang w:eastAsia="zh-CN" w:bidi="hi-IN"/>
              </w:rPr>
              <w:t>opérateurs</w:t>
            </w:r>
            <w:proofErr w:type="spellEnd"/>
            <w:r w:rsidRPr="006B4C9A">
              <w:rPr>
                <w:rFonts w:ascii="Arial" w:eastAsia="Arial" w:hAnsi="Arial" w:cs="Arial"/>
                <w:i/>
                <w:color w:val="4472C4" w:themeColor="accent5"/>
                <w:kern w:val="3"/>
                <w:sz w:val="16"/>
                <w:szCs w:val="20"/>
                <w:lang w:eastAsia="zh-CN" w:bidi="hi-IN"/>
              </w:rPr>
              <w:t xml:space="preserve"> </w:t>
            </w:r>
            <w:proofErr w:type="spellStart"/>
            <w:r w:rsidRPr="006B4C9A">
              <w:rPr>
                <w:rFonts w:ascii="Arial" w:eastAsia="Arial" w:hAnsi="Arial" w:cs="Arial"/>
                <w:i/>
                <w:color w:val="4472C4" w:themeColor="accent5"/>
                <w:kern w:val="3"/>
                <w:sz w:val="16"/>
                <w:szCs w:val="20"/>
                <w:lang w:eastAsia="zh-CN" w:bidi="hi-IN"/>
              </w:rPr>
              <w:t>économiques</w:t>
            </w:r>
            <w:proofErr w:type="spellEnd"/>
            <w:r w:rsidRPr="006B4C9A">
              <w:rPr>
                <w:rFonts w:ascii="Arial" w:eastAsia="Arial" w:hAnsi="Arial" w:cs="Arial"/>
                <w:i/>
                <w:color w:val="4472C4" w:themeColor="accent5"/>
                <w:kern w:val="3"/>
                <w:sz w:val="16"/>
                <w:szCs w:val="20"/>
                <w:lang w:eastAsia="zh-CN" w:bidi="hi-IN"/>
              </w:rPr>
              <w:t xml:space="preserve"> du territoire ponctuellement </w:t>
            </w:r>
            <w:proofErr w:type="spellStart"/>
            <w:r w:rsidRPr="006B4C9A">
              <w:rPr>
                <w:rFonts w:ascii="Arial" w:eastAsia="Arial" w:hAnsi="Arial" w:cs="Arial"/>
                <w:i/>
                <w:color w:val="4472C4" w:themeColor="accent5"/>
                <w:kern w:val="3"/>
                <w:sz w:val="16"/>
                <w:szCs w:val="20"/>
                <w:lang w:eastAsia="zh-CN" w:bidi="hi-IN"/>
              </w:rPr>
              <w:t>associés</w:t>
            </w:r>
            <w:proofErr w:type="spellEnd"/>
            <w:r w:rsidRPr="006B4C9A">
              <w:rPr>
                <w:rFonts w:ascii="Arial" w:eastAsia="Arial" w:hAnsi="Arial" w:cs="Arial"/>
                <w:i/>
                <w:color w:val="4472C4" w:themeColor="accent5"/>
                <w:kern w:val="3"/>
                <w:sz w:val="16"/>
                <w:szCs w:val="20"/>
                <w:lang w:eastAsia="zh-CN" w:bidi="hi-IN"/>
              </w:rPr>
              <w:t xml:space="preserve"> au regard des </w:t>
            </w:r>
            <w:proofErr w:type="spellStart"/>
            <w:r w:rsidRPr="006B4C9A">
              <w:rPr>
                <w:rFonts w:ascii="Arial" w:eastAsia="Arial" w:hAnsi="Arial" w:cs="Arial"/>
                <w:i/>
                <w:color w:val="4472C4" w:themeColor="accent5"/>
                <w:kern w:val="3"/>
                <w:sz w:val="16"/>
                <w:szCs w:val="20"/>
                <w:lang w:eastAsia="zh-CN" w:bidi="hi-IN"/>
              </w:rPr>
              <w:t>thématiques</w:t>
            </w:r>
            <w:proofErr w:type="spellEnd"/>
            <w:r w:rsidRPr="006B4C9A">
              <w:rPr>
                <w:rFonts w:ascii="Arial" w:eastAsia="Arial" w:hAnsi="Arial" w:cs="Arial"/>
                <w:i/>
                <w:color w:val="4472C4" w:themeColor="accent5"/>
                <w:kern w:val="3"/>
                <w:sz w:val="16"/>
                <w:szCs w:val="20"/>
                <w:lang w:eastAsia="zh-CN" w:bidi="hi-IN"/>
              </w:rPr>
              <w:t xml:space="preserve"> </w:t>
            </w:r>
            <w:proofErr w:type="spellStart"/>
            <w:r w:rsidRPr="006B4C9A">
              <w:rPr>
                <w:rFonts w:ascii="Arial" w:eastAsia="Arial" w:hAnsi="Arial" w:cs="Arial"/>
                <w:i/>
                <w:color w:val="4472C4" w:themeColor="accent5"/>
                <w:kern w:val="3"/>
                <w:sz w:val="16"/>
                <w:szCs w:val="20"/>
                <w:lang w:eastAsia="zh-CN" w:bidi="hi-IN"/>
              </w:rPr>
              <w:t>abordées</w:t>
            </w:r>
            <w:proofErr w:type="spellEnd"/>
            <w:r w:rsidRPr="006B4C9A">
              <w:rPr>
                <w:rFonts w:ascii="Arial" w:eastAsia="Arial" w:hAnsi="Arial" w:cs="Arial"/>
                <w:i/>
                <w:color w:val="4472C4" w:themeColor="accent5"/>
                <w:kern w:val="3"/>
                <w:sz w:val="16"/>
                <w:szCs w:val="20"/>
                <w:lang w:eastAsia="zh-CN" w:bidi="hi-IN"/>
              </w:rPr>
              <w:t xml:space="preserve"> et partenaires autres (ATE de Saint-Barth par exemple)</w:t>
            </w:r>
          </w:p>
        </w:tc>
      </w:tr>
    </w:tbl>
    <w:p w:rsidR="00187EF8" w:rsidRPr="00187EF8" w:rsidRDefault="00187EF8" w:rsidP="00D708D9">
      <w:pPr>
        <w:tabs>
          <w:tab w:val="left" w:pos="2467"/>
        </w:tabs>
        <w:jc w:val="both"/>
      </w:pPr>
      <w:bookmarkStart w:id="3" w:name="_GoBack"/>
      <w:bookmarkEnd w:id="3"/>
    </w:p>
    <w:p w:rsidR="00C16B38" w:rsidRDefault="008A201D" w:rsidP="00CF262C">
      <w:pPr>
        <w:pStyle w:val="Titre1"/>
      </w:pPr>
      <w:bookmarkStart w:id="4" w:name="_Toc90455997"/>
      <w:r>
        <w:lastRenderedPageBreak/>
        <w:t>Q</w:t>
      </w:r>
      <w:r w:rsidR="00240D7A">
        <w:t>4</w:t>
      </w:r>
      <w:r>
        <w:t xml:space="preserve"> – Quelle est la valeur juridique de la charte ?</w:t>
      </w:r>
      <w:bookmarkEnd w:id="4"/>
    </w:p>
    <w:p w:rsidR="008A201D" w:rsidRDefault="008A201D" w:rsidP="00D708D9">
      <w:pPr>
        <w:tabs>
          <w:tab w:val="left" w:pos="2467"/>
        </w:tabs>
        <w:jc w:val="both"/>
      </w:pPr>
      <w:r>
        <w:t>La charte n’est pas opposable juridiquement. Ce n’est pas son objectif. La charte vise à rassembler les acteurs du réseau</w:t>
      </w:r>
      <w:r w:rsidR="00AF3380">
        <w:t>, leur donner une visibilité et une lisibilité commune</w:t>
      </w:r>
      <w:r>
        <w:t xml:space="preserve"> </w:t>
      </w:r>
      <w:r w:rsidR="00AF3380">
        <w:t xml:space="preserve">auprès du grand public, </w:t>
      </w:r>
      <w:r>
        <w:t>et valoriser la richesse de leur diversité et de leurs actions quel que soit leur statut. Elle vise aussi à encadrer les interventions des membres en terme de communication</w:t>
      </w:r>
      <w:r w:rsidR="00AF3380">
        <w:t xml:space="preserve"> externe, afin s’assurer sa cohérence globale</w:t>
      </w:r>
      <w:r w:rsidR="00CF262C">
        <w:t xml:space="preserve"> (voir la charte, III- Communication)</w:t>
      </w:r>
      <w:r>
        <w:t>.</w:t>
      </w:r>
    </w:p>
    <w:p w:rsidR="008A201D" w:rsidRDefault="008A201D" w:rsidP="00CF262C">
      <w:pPr>
        <w:pStyle w:val="Titre1"/>
      </w:pPr>
      <w:bookmarkStart w:id="5" w:name="_Toc90455998"/>
      <w:r w:rsidRPr="008A201D">
        <w:t>Q</w:t>
      </w:r>
      <w:r w:rsidR="00240D7A">
        <w:t>5</w:t>
      </w:r>
      <w:r w:rsidRPr="008A201D">
        <w:t xml:space="preserve"> – Est-ce que la charte encadre l’utilisation des données issues des actions mises en œuvre ?</w:t>
      </w:r>
      <w:bookmarkEnd w:id="5"/>
    </w:p>
    <w:p w:rsidR="008A201D" w:rsidRDefault="008A201D" w:rsidP="00D708D9">
      <w:pPr>
        <w:tabs>
          <w:tab w:val="left" w:pos="2467"/>
        </w:tabs>
        <w:jc w:val="both"/>
      </w:pPr>
      <w:r>
        <w:t xml:space="preserve">La charte ne donne pas de droits </w:t>
      </w:r>
      <w:r w:rsidR="00AF3380">
        <w:t xml:space="preserve">ou de devoirs </w:t>
      </w:r>
      <w:r>
        <w:t>supplémentaires aux signataire</w:t>
      </w:r>
      <w:r w:rsidR="00AF3380">
        <w:t>s</w:t>
      </w:r>
      <w:r>
        <w:t>, elle rappelle simplement la réglementation en terme de partage des données, notamment dans le cadre du développement du SINP</w:t>
      </w:r>
      <w:r w:rsidR="00CF262C">
        <w:t xml:space="preserve"> (voir la charte IV- Gestion des données)</w:t>
      </w:r>
      <w:r>
        <w:t>.</w:t>
      </w:r>
      <w:r w:rsidR="00AF3380">
        <w:t xml:space="preserve"> Ce rappel sera utile auprès de tout nouveau signataire de la charte.</w:t>
      </w:r>
    </w:p>
    <w:p w:rsidR="00240D7A" w:rsidRDefault="00240D7A" w:rsidP="00CF262C">
      <w:pPr>
        <w:pStyle w:val="Titre1"/>
      </w:pPr>
      <w:bookmarkStart w:id="6" w:name="_Toc90455999"/>
      <w:r>
        <w:t>Q6 – Comment est définie la « </w:t>
      </w:r>
      <w:r w:rsidRPr="00AF3380">
        <w:rPr>
          <w:i/>
        </w:rPr>
        <w:t>non-participation aux activités du RTM</w:t>
      </w:r>
      <w:r>
        <w:t> » ?</w:t>
      </w:r>
      <w:bookmarkEnd w:id="6"/>
    </w:p>
    <w:p w:rsidR="00240D7A" w:rsidRPr="00187EF8" w:rsidRDefault="00240D7A" w:rsidP="00240D7A">
      <w:pPr>
        <w:tabs>
          <w:tab w:val="left" w:pos="2467"/>
        </w:tabs>
        <w:jc w:val="both"/>
        <w:rPr>
          <w:b/>
          <w:i/>
          <w:color w:val="4472C4" w:themeColor="accent5"/>
          <w:u w:val="single"/>
        </w:rPr>
      </w:pPr>
      <w:r w:rsidRPr="00187EF8">
        <w:rPr>
          <w:b/>
          <w:i/>
          <w:color w:val="4472C4" w:themeColor="accent5"/>
          <w:u w:val="single"/>
        </w:rPr>
        <w:t>Extrait de la charte</w:t>
      </w:r>
    </w:p>
    <w:p w:rsidR="00240D7A" w:rsidRPr="00240D7A" w:rsidRDefault="00240D7A" w:rsidP="00240D7A">
      <w:pPr>
        <w:tabs>
          <w:tab w:val="left" w:pos="2467"/>
        </w:tabs>
        <w:jc w:val="both"/>
        <w:rPr>
          <w:i/>
          <w:color w:val="4472C4" w:themeColor="accent5"/>
        </w:rPr>
      </w:pPr>
      <w:r w:rsidRPr="00240D7A">
        <w:rPr>
          <w:i/>
          <w:color w:val="4472C4" w:themeColor="accent5"/>
        </w:rPr>
        <w:t xml:space="preserve">Article 2 – </w:t>
      </w:r>
      <w:r w:rsidRPr="00AF3380">
        <w:rPr>
          <w:i/>
          <w:strike/>
          <w:color w:val="4472C4" w:themeColor="accent5"/>
        </w:rPr>
        <w:t>Démission – Exclusion</w:t>
      </w:r>
      <w:r w:rsidRPr="00240D7A">
        <w:rPr>
          <w:i/>
          <w:color w:val="4472C4" w:themeColor="accent5"/>
        </w:rPr>
        <w:t xml:space="preserve"> </w:t>
      </w:r>
      <w:r w:rsidR="00AF3380">
        <w:rPr>
          <w:i/>
          <w:color w:val="4472C4" w:themeColor="accent5"/>
        </w:rPr>
        <w:t xml:space="preserve">Sortie </w:t>
      </w:r>
      <w:r w:rsidRPr="00240D7A">
        <w:rPr>
          <w:i/>
          <w:color w:val="4472C4" w:themeColor="accent5"/>
        </w:rPr>
        <w:t>d’un membre</w:t>
      </w:r>
    </w:p>
    <w:p w:rsidR="00240D7A" w:rsidRPr="00240D7A" w:rsidRDefault="00240D7A" w:rsidP="00240D7A">
      <w:pPr>
        <w:tabs>
          <w:tab w:val="left" w:pos="2467"/>
        </w:tabs>
        <w:jc w:val="both"/>
        <w:rPr>
          <w:i/>
          <w:color w:val="4472C4" w:themeColor="accent5"/>
        </w:rPr>
      </w:pPr>
      <w:r w:rsidRPr="00240D7A">
        <w:rPr>
          <w:i/>
          <w:color w:val="4472C4" w:themeColor="accent5"/>
        </w:rPr>
        <w:t xml:space="preserve">1.La </w:t>
      </w:r>
      <w:r w:rsidRPr="00AF3380">
        <w:rPr>
          <w:i/>
          <w:strike/>
          <w:color w:val="4472C4" w:themeColor="accent5"/>
        </w:rPr>
        <w:t xml:space="preserve">démission </w:t>
      </w:r>
      <w:r w:rsidR="00AF3380">
        <w:rPr>
          <w:i/>
          <w:color w:val="4472C4" w:themeColor="accent5"/>
        </w:rPr>
        <w:t xml:space="preserve">sortie du réseau </w:t>
      </w:r>
      <w:r w:rsidRPr="00240D7A">
        <w:rPr>
          <w:i/>
          <w:color w:val="4472C4" w:themeColor="accent5"/>
        </w:rPr>
        <w:t xml:space="preserve">doit être adressée à l’animateur du RTMG par écrit (courriel ou courrier). Elle n’a pas à être motivée par le membre </w:t>
      </w:r>
      <w:r w:rsidR="00AF3380">
        <w:rPr>
          <w:i/>
          <w:color w:val="4472C4" w:themeColor="accent5"/>
        </w:rPr>
        <w:t xml:space="preserve">sortant </w:t>
      </w:r>
      <w:r w:rsidRPr="00AF3380">
        <w:rPr>
          <w:i/>
          <w:strike/>
          <w:color w:val="4472C4" w:themeColor="accent5"/>
        </w:rPr>
        <w:t>démissionnaire</w:t>
      </w:r>
      <w:r w:rsidRPr="00240D7A">
        <w:rPr>
          <w:i/>
          <w:color w:val="4472C4" w:themeColor="accent5"/>
        </w:rPr>
        <w:t>.</w:t>
      </w:r>
    </w:p>
    <w:p w:rsidR="00240D7A" w:rsidRPr="00240D7A" w:rsidRDefault="00240D7A" w:rsidP="00240D7A">
      <w:pPr>
        <w:tabs>
          <w:tab w:val="left" w:pos="2467"/>
        </w:tabs>
        <w:jc w:val="both"/>
        <w:rPr>
          <w:i/>
          <w:color w:val="4472C4" w:themeColor="accent5"/>
        </w:rPr>
      </w:pPr>
      <w:r w:rsidRPr="00240D7A">
        <w:rPr>
          <w:i/>
          <w:color w:val="4472C4" w:themeColor="accent5"/>
        </w:rPr>
        <w:t>2.L</w:t>
      </w:r>
      <w:r w:rsidR="00AF3380">
        <w:rPr>
          <w:i/>
          <w:color w:val="4472C4" w:themeColor="accent5"/>
        </w:rPr>
        <w:t xml:space="preserve">a sortie </w:t>
      </w:r>
      <w:r w:rsidRPr="00AF3380">
        <w:rPr>
          <w:i/>
          <w:strike/>
          <w:color w:val="4472C4" w:themeColor="accent5"/>
        </w:rPr>
        <w:t>’exclusion</w:t>
      </w:r>
      <w:r w:rsidRPr="00240D7A">
        <w:rPr>
          <w:i/>
          <w:color w:val="4472C4" w:themeColor="accent5"/>
        </w:rPr>
        <w:t xml:space="preserve"> d’un membre peut être prononcée sur proposition du COTEC, validée par le COPIL, pour les motifs suivants :</w:t>
      </w:r>
    </w:p>
    <w:p w:rsidR="00240D7A" w:rsidRPr="00240D7A" w:rsidRDefault="00240D7A" w:rsidP="00240D7A">
      <w:pPr>
        <w:pStyle w:val="Paragraphedeliste"/>
        <w:numPr>
          <w:ilvl w:val="0"/>
          <w:numId w:val="1"/>
        </w:numPr>
        <w:tabs>
          <w:tab w:val="left" w:pos="2467"/>
        </w:tabs>
        <w:jc w:val="both"/>
        <w:rPr>
          <w:i/>
          <w:color w:val="4472C4" w:themeColor="accent5"/>
        </w:rPr>
      </w:pPr>
      <w:r w:rsidRPr="00240D7A">
        <w:rPr>
          <w:i/>
          <w:color w:val="4472C4" w:themeColor="accent5"/>
        </w:rPr>
        <w:t>Le non-respect de la charte ;</w:t>
      </w:r>
    </w:p>
    <w:p w:rsidR="00240D7A" w:rsidRPr="00240D7A" w:rsidRDefault="00240D7A" w:rsidP="00240D7A">
      <w:pPr>
        <w:pStyle w:val="Paragraphedeliste"/>
        <w:numPr>
          <w:ilvl w:val="0"/>
          <w:numId w:val="1"/>
        </w:numPr>
        <w:tabs>
          <w:tab w:val="left" w:pos="2467"/>
        </w:tabs>
        <w:jc w:val="both"/>
        <w:rPr>
          <w:i/>
          <w:color w:val="4472C4" w:themeColor="accent5"/>
        </w:rPr>
      </w:pPr>
      <w:proofErr w:type="gramStart"/>
      <w:r w:rsidRPr="00240D7A">
        <w:rPr>
          <w:b/>
          <w:i/>
          <w:color w:val="4472C4" w:themeColor="accent5"/>
        </w:rPr>
        <w:t>la</w:t>
      </w:r>
      <w:proofErr w:type="gramEnd"/>
      <w:r w:rsidRPr="00240D7A">
        <w:rPr>
          <w:b/>
          <w:i/>
          <w:color w:val="4472C4" w:themeColor="accent5"/>
        </w:rPr>
        <w:t xml:space="preserve"> non-participation aux activités du RTMG</w:t>
      </w:r>
      <w:r w:rsidRPr="00240D7A">
        <w:rPr>
          <w:i/>
          <w:color w:val="4472C4" w:themeColor="accent5"/>
        </w:rPr>
        <w:t xml:space="preserve"> ;</w:t>
      </w:r>
    </w:p>
    <w:p w:rsidR="00240D7A" w:rsidRPr="00240D7A" w:rsidRDefault="00240D7A" w:rsidP="00240D7A">
      <w:pPr>
        <w:pStyle w:val="Paragraphedeliste"/>
        <w:numPr>
          <w:ilvl w:val="0"/>
          <w:numId w:val="1"/>
        </w:numPr>
        <w:tabs>
          <w:tab w:val="left" w:pos="2467"/>
        </w:tabs>
        <w:jc w:val="both"/>
        <w:rPr>
          <w:i/>
          <w:color w:val="4472C4" w:themeColor="accent5"/>
        </w:rPr>
      </w:pPr>
      <w:proofErr w:type="gramStart"/>
      <w:r w:rsidRPr="00240D7A">
        <w:rPr>
          <w:i/>
          <w:color w:val="4472C4" w:themeColor="accent5"/>
        </w:rPr>
        <w:t>une</w:t>
      </w:r>
      <w:proofErr w:type="gramEnd"/>
      <w:r w:rsidRPr="00240D7A">
        <w:rPr>
          <w:i/>
          <w:color w:val="4472C4" w:themeColor="accent5"/>
        </w:rPr>
        <w:t xml:space="preserve"> condamnation pénale pour crime et délit ;</w:t>
      </w:r>
    </w:p>
    <w:p w:rsidR="00240D7A" w:rsidRDefault="00240D7A" w:rsidP="00240D7A">
      <w:pPr>
        <w:pStyle w:val="Paragraphedeliste"/>
        <w:numPr>
          <w:ilvl w:val="0"/>
          <w:numId w:val="1"/>
        </w:numPr>
        <w:tabs>
          <w:tab w:val="left" w:pos="2467"/>
        </w:tabs>
        <w:jc w:val="both"/>
        <w:rPr>
          <w:i/>
          <w:color w:val="4472C4" w:themeColor="accent5"/>
        </w:rPr>
      </w:pPr>
      <w:proofErr w:type="gramStart"/>
      <w:r w:rsidRPr="00240D7A">
        <w:rPr>
          <w:i/>
          <w:color w:val="4472C4" w:themeColor="accent5"/>
        </w:rPr>
        <w:t>toute</w:t>
      </w:r>
      <w:proofErr w:type="gramEnd"/>
      <w:r w:rsidRPr="00240D7A">
        <w:rPr>
          <w:i/>
          <w:color w:val="4472C4" w:themeColor="accent5"/>
        </w:rPr>
        <w:t xml:space="preserve"> action de nature à porter préjudice, directement ou indirectement, aux activités du RTMG ou à sa réputation</w:t>
      </w:r>
    </w:p>
    <w:p w:rsidR="00240D7A" w:rsidRPr="00240D7A" w:rsidRDefault="00240D7A" w:rsidP="00240D7A">
      <w:pPr>
        <w:tabs>
          <w:tab w:val="left" w:pos="2467"/>
        </w:tabs>
        <w:jc w:val="both"/>
        <w:rPr>
          <w:i/>
          <w:color w:val="4472C4" w:themeColor="accent5"/>
        </w:rPr>
      </w:pPr>
      <w:r>
        <w:t>Etant donné le contexte actuel, certaines structures peuvent avoir des difficultés à s’impliquer avec régularité dans les actions du réseau</w:t>
      </w:r>
      <w:r w:rsidR="00A75DEE">
        <w:t xml:space="preserve">. On peut estimer que l’absence de participation concrète pendant un certain temps est de ce fait acceptable. Il appartient au COTEC et au COPIL de prendre en compte ces éléments dans leur décision d’exclure ou non un membre pour « non-participation ». </w:t>
      </w:r>
    </w:p>
    <w:sectPr w:rsidR="00240D7A" w:rsidRPr="00240D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2C4" w:rsidRDefault="00C172C4" w:rsidP="00BD418A">
      <w:pPr>
        <w:spacing w:after="0" w:line="240" w:lineRule="auto"/>
      </w:pPr>
      <w:r>
        <w:separator/>
      </w:r>
    </w:p>
  </w:endnote>
  <w:endnote w:type="continuationSeparator" w:id="0">
    <w:p w:rsidR="00C172C4" w:rsidRDefault="00C172C4" w:rsidP="00BD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035814"/>
      <w:docPartObj>
        <w:docPartGallery w:val="Page Numbers (Bottom of Page)"/>
        <w:docPartUnique/>
      </w:docPartObj>
    </w:sdtPr>
    <w:sdtEndPr/>
    <w:sdtContent>
      <w:sdt>
        <w:sdtPr>
          <w:id w:val="1728636285"/>
          <w:docPartObj>
            <w:docPartGallery w:val="Page Numbers (Top of Page)"/>
            <w:docPartUnique/>
          </w:docPartObj>
        </w:sdtPr>
        <w:sdtEndPr/>
        <w:sdtContent>
          <w:p w:rsidR="009479BC" w:rsidRDefault="009479BC">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6B4C9A">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6B4C9A">
              <w:rPr>
                <w:b/>
                <w:bCs/>
                <w:noProof/>
              </w:rPr>
              <w:t>4</w:t>
            </w:r>
            <w:r>
              <w:rPr>
                <w:b/>
                <w:bCs/>
                <w:sz w:val="24"/>
                <w:szCs w:val="24"/>
              </w:rPr>
              <w:fldChar w:fldCharType="end"/>
            </w:r>
          </w:p>
        </w:sdtContent>
      </w:sdt>
    </w:sdtContent>
  </w:sdt>
  <w:p w:rsidR="009479BC" w:rsidRDefault="009479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2C4" w:rsidRDefault="00C172C4" w:rsidP="00BD418A">
      <w:pPr>
        <w:spacing w:after="0" w:line="240" w:lineRule="auto"/>
      </w:pPr>
      <w:r>
        <w:separator/>
      </w:r>
    </w:p>
  </w:footnote>
  <w:footnote w:type="continuationSeparator" w:id="0">
    <w:p w:rsidR="00C172C4" w:rsidRDefault="00C172C4" w:rsidP="00BD4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18A" w:rsidRDefault="00C16B38" w:rsidP="00C16B38">
    <w:pPr>
      <w:pStyle w:val="En-tte"/>
      <w:tabs>
        <w:tab w:val="clear" w:pos="9072"/>
        <w:tab w:val="left" w:pos="4984"/>
      </w:tabs>
    </w:pPr>
    <w:r w:rsidRPr="00A40D7B">
      <w:rPr>
        <w:noProof/>
        <w:sz w:val="36"/>
        <w:szCs w:val="48"/>
        <w:lang w:eastAsia="fr-FR"/>
      </w:rPr>
      <w:drawing>
        <wp:anchor distT="0" distB="0" distL="114300" distR="114300" simplePos="0" relativeHeight="251663360" behindDoc="0" locked="0" layoutInCell="1" allowOverlap="1" wp14:anchorId="2A3315A1" wp14:editId="04D18FDE">
          <wp:simplePos x="0" y="0"/>
          <wp:positionH relativeFrom="margin">
            <wp:posOffset>2790659</wp:posOffset>
          </wp:positionH>
          <wp:positionV relativeFrom="paragraph">
            <wp:posOffset>-373960</wp:posOffset>
          </wp:positionV>
          <wp:extent cx="757867" cy="756000"/>
          <wp:effectExtent l="0" t="0" r="4445" b="6350"/>
          <wp:wrapNone/>
          <wp:docPr id="1" name="Image 1" descr="\\xnas13-001\11-PNA-TM-IPA\D_ADMINISTRATIF\2_LOGOS\RTM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as13-001\11-PNA-TM-IPA\D_ADMINISTRATIF\2_LOGOS\RTM97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867" cy="75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4C9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4.25pt;margin-top:-35.35pt;width:71.3pt;height:71.3pt;z-index:251661312;mso-position-horizontal-relative:text;mso-position-vertical-relative:text;mso-width-relative:page;mso-height-relative:page">
          <v:imagedata r:id="rId2" o:title="RTM 971"/>
        </v:shape>
      </w:pic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369D"/>
    <w:multiLevelType w:val="hybridMultilevel"/>
    <w:tmpl w:val="E5EC45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A5"/>
    <w:rsid w:val="0008516D"/>
    <w:rsid w:val="00187EF8"/>
    <w:rsid w:val="001F0E92"/>
    <w:rsid w:val="001F6F96"/>
    <w:rsid w:val="001F7813"/>
    <w:rsid w:val="00240D7A"/>
    <w:rsid w:val="003423DC"/>
    <w:rsid w:val="003A3F49"/>
    <w:rsid w:val="004142A5"/>
    <w:rsid w:val="005412B6"/>
    <w:rsid w:val="006B4C9A"/>
    <w:rsid w:val="008A201D"/>
    <w:rsid w:val="009479BC"/>
    <w:rsid w:val="00A75DEE"/>
    <w:rsid w:val="00AD65CF"/>
    <w:rsid w:val="00AF3380"/>
    <w:rsid w:val="00BD418A"/>
    <w:rsid w:val="00C119F2"/>
    <w:rsid w:val="00C16B38"/>
    <w:rsid w:val="00C172C4"/>
    <w:rsid w:val="00C848D7"/>
    <w:rsid w:val="00CF262C"/>
    <w:rsid w:val="00D708D9"/>
    <w:rsid w:val="00E02D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6329943"/>
  <w15:chartTrackingRefBased/>
  <w15:docId w15:val="{A0F2D4F2-F118-4E83-99F6-B1F56886E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F262C"/>
    <w:pPr>
      <w:keepNext/>
      <w:keepLines/>
      <w:spacing w:before="240" w:after="0"/>
      <w:outlineLvl w:val="0"/>
    </w:pPr>
    <w:rPr>
      <w:rFonts w:eastAsiaTheme="majorEastAsia" w:cstheme="majorBidi"/>
      <w:b/>
      <w:sz w:val="28"/>
      <w:szCs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418A"/>
    <w:pPr>
      <w:tabs>
        <w:tab w:val="center" w:pos="4536"/>
        <w:tab w:val="right" w:pos="9072"/>
      </w:tabs>
      <w:spacing w:after="0" w:line="240" w:lineRule="auto"/>
    </w:pPr>
  </w:style>
  <w:style w:type="character" w:customStyle="1" w:styleId="En-tteCar">
    <w:name w:val="En-tête Car"/>
    <w:basedOn w:val="Policepardfaut"/>
    <w:link w:val="En-tte"/>
    <w:uiPriority w:val="99"/>
    <w:rsid w:val="00BD418A"/>
  </w:style>
  <w:style w:type="paragraph" w:styleId="Pieddepage">
    <w:name w:val="footer"/>
    <w:basedOn w:val="Normal"/>
    <w:link w:val="PieddepageCar"/>
    <w:uiPriority w:val="99"/>
    <w:unhideWhenUsed/>
    <w:rsid w:val="00BD41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18A"/>
  </w:style>
  <w:style w:type="table" w:styleId="Grilledutableau">
    <w:name w:val="Table Grid"/>
    <w:basedOn w:val="TableauNormal"/>
    <w:uiPriority w:val="39"/>
    <w:rsid w:val="00BD4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708D9"/>
    <w:rPr>
      <w:sz w:val="16"/>
      <w:szCs w:val="16"/>
    </w:rPr>
  </w:style>
  <w:style w:type="paragraph" w:styleId="Commentaire">
    <w:name w:val="annotation text"/>
    <w:basedOn w:val="Normal"/>
    <w:link w:val="CommentaireCar"/>
    <w:uiPriority w:val="99"/>
    <w:semiHidden/>
    <w:unhideWhenUsed/>
    <w:rsid w:val="00D708D9"/>
    <w:pPr>
      <w:spacing w:line="240" w:lineRule="auto"/>
    </w:pPr>
    <w:rPr>
      <w:sz w:val="20"/>
      <w:szCs w:val="20"/>
    </w:rPr>
  </w:style>
  <w:style w:type="character" w:customStyle="1" w:styleId="CommentaireCar">
    <w:name w:val="Commentaire Car"/>
    <w:basedOn w:val="Policepardfaut"/>
    <w:link w:val="Commentaire"/>
    <w:uiPriority w:val="99"/>
    <w:semiHidden/>
    <w:rsid w:val="00D708D9"/>
    <w:rPr>
      <w:sz w:val="20"/>
      <w:szCs w:val="20"/>
    </w:rPr>
  </w:style>
  <w:style w:type="paragraph" w:styleId="Objetducommentaire">
    <w:name w:val="annotation subject"/>
    <w:basedOn w:val="Commentaire"/>
    <w:next w:val="Commentaire"/>
    <w:link w:val="ObjetducommentaireCar"/>
    <w:uiPriority w:val="99"/>
    <w:semiHidden/>
    <w:unhideWhenUsed/>
    <w:rsid w:val="00D708D9"/>
    <w:rPr>
      <w:b/>
      <w:bCs/>
    </w:rPr>
  </w:style>
  <w:style w:type="character" w:customStyle="1" w:styleId="ObjetducommentaireCar">
    <w:name w:val="Objet du commentaire Car"/>
    <w:basedOn w:val="CommentaireCar"/>
    <w:link w:val="Objetducommentaire"/>
    <w:uiPriority w:val="99"/>
    <w:semiHidden/>
    <w:rsid w:val="00D708D9"/>
    <w:rPr>
      <w:b/>
      <w:bCs/>
      <w:sz w:val="20"/>
      <w:szCs w:val="20"/>
    </w:rPr>
  </w:style>
  <w:style w:type="paragraph" w:styleId="Textedebulles">
    <w:name w:val="Balloon Text"/>
    <w:basedOn w:val="Normal"/>
    <w:link w:val="TextedebullesCar"/>
    <w:uiPriority w:val="99"/>
    <w:semiHidden/>
    <w:unhideWhenUsed/>
    <w:rsid w:val="00D708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08D9"/>
    <w:rPr>
      <w:rFonts w:ascii="Segoe UI" w:hAnsi="Segoe UI" w:cs="Segoe UI"/>
      <w:sz w:val="18"/>
      <w:szCs w:val="18"/>
    </w:rPr>
  </w:style>
  <w:style w:type="paragraph" w:customStyle="1" w:styleId="Standard">
    <w:name w:val="Standard"/>
    <w:rsid w:val="00187EF8"/>
    <w:pPr>
      <w:suppressAutoHyphens/>
      <w:autoSpaceDN w:val="0"/>
      <w:spacing w:before="85" w:after="85" w:line="288" w:lineRule="auto"/>
      <w:jc w:val="both"/>
      <w:textAlignment w:val="baseline"/>
    </w:pPr>
    <w:rPr>
      <w:rFonts w:ascii="Arial" w:eastAsia="Arial" w:hAnsi="Arial" w:cs="Arial"/>
      <w:kern w:val="3"/>
      <w:szCs w:val="24"/>
      <w:lang w:eastAsia="zh-CN" w:bidi="hi-IN"/>
    </w:rPr>
  </w:style>
  <w:style w:type="paragraph" w:customStyle="1" w:styleId="Textbody">
    <w:name w:val="Text body"/>
    <w:basedOn w:val="Standard"/>
    <w:rsid w:val="00187EF8"/>
  </w:style>
  <w:style w:type="paragraph" w:customStyle="1" w:styleId="TableContents">
    <w:name w:val="Table Contents"/>
    <w:basedOn w:val="Standard"/>
    <w:rsid w:val="00187EF8"/>
    <w:pPr>
      <w:suppressLineNumbers/>
    </w:pPr>
  </w:style>
  <w:style w:type="paragraph" w:styleId="Paragraphedeliste">
    <w:name w:val="List Paragraph"/>
    <w:basedOn w:val="Normal"/>
    <w:uiPriority w:val="34"/>
    <w:qFormat/>
    <w:rsid w:val="00240D7A"/>
    <w:pPr>
      <w:ind w:left="720"/>
      <w:contextualSpacing/>
    </w:pPr>
  </w:style>
  <w:style w:type="character" w:customStyle="1" w:styleId="Titre1Car">
    <w:name w:val="Titre 1 Car"/>
    <w:basedOn w:val="Policepardfaut"/>
    <w:link w:val="Titre1"/>
    <w:uiPriority w:val="9"/>
    <w:rsid w:val="00CF262C"/>
    <w:rPr>
      <w:rFonts w:eastAsiaTheme="majorEastAsia" w:cstheme="majorBidi"/>
      <w:b/>
      <w:sz w:val="28"/>
      <w:szCs w:val="32"/>
      <w:u w:val="single"/>
    </w:rPr>
  </w:style>
  <w:style w:type="paragraph" w:styleId="En-ttedetabledesmatires">
    <w:name w:val="TOC Heading"/>
    <w:basedOn w:val="Titre1"/>
    <w:next w:val="Normal"/>
    <w:uiPriority w:val="39"/>
    <w:unhideWhenUsed/>
    <w:qFormat/>
    <w:rsid w:val="00CF262C"/>
    <w:pPr>
      <w:outlineLvl w:val="9"/>
    </w:pPr>
    <w:rPr>
      <w:rFonts w:asciiTheme="majorHAnsi" w:hAnsiTheme="majorHAnsi"/>
      <w:b w:val="0"/>
      <w:color w:val="2E74B5" w:themeColor="accent1" w:themeShade="BF"/>
      <w:sz w:val="32"/>
      <w:u w:val="none"/>
      <w:lang w:eastAsia="fr-FR"/>
    </w:rPr>
  </w:style>
  <w:style w:type="paragraph" w:styleId="TM1">
    <w:name w:val="toc 1"/>
    <w:basedOn w:val="Normal"/>
    <w:next w:val="Normal"/>
    <w:autoRedefine/>
    <w:uiPriority w:val="39"/>
    <w:unhideWhenUsed/>
    <w:rsid w:val="00CF262C"/>
    <w:pPr>
      <w:spacing w:after="100"/>
    </w:pPr>
  </w:style>
  <w:style w:type="character" w:styleId="Lienhypertexte">
    <w:name w:val="Hyperlink"/>
    <w:basedOn w:val="Policepardfaut"/>
    <w:uiPriority w:val="99"/>
    <w:unhideWhenUsed/>
    <w:rsid w:val="00CF2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B1B24-4AAB-45D1-85FD-6171E581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1253</Words>
  <Characters>6892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Office national des forêts</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PAUWELS Julie</dc:creator>
  <cp:keywords/>
  <dc:description/>
  <cp:lastModifiedBy>PARANTHOEN Nicolas</cp:lastModifiedBy>
  <cp:revision>11</cp:revision>
  <dcterms:created xsi:type="dcterms:W3CDTF">2021-05-04T20:56:00Z</dcterms:created>
  <dcterms:modified xsi:type="dcterms:W3CDTF">2021-12-15T15:23:00Z</dcterms:modified>
</cp:coreProperties>
</file>